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84C" w:rsidRDefault="00DD584C" w:rsidP="00DD584C">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rsidR="00DD584C" w:rsidRDefault="00DD584C" w:rsidP="00DD584C">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0"/>
      </w:tblGrid>
      <w:tr w:rsidR="00DD584C" w:rsidTr="00410EA4">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DD584C" w:rsidRDefault="00DD584C" w:rsidP="00410EA4">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27.09.2022</w:t>
            </w:r>
          </w:p>
        </w:tc>
      </w:tr>
      <w:tr w:rsidR="00DD584C" w:rsidTr="00410EA4">
        <w:tblPrEx>
          <w:tblCellMar>
            <w:top w:w="0" w:type="dxa"/>
            <w:bottom w:w="0" w:type="dxa"/>
          </w:tblCellMar>
        </w:tblPrEx>
        <w:trPr>
          <w:trHeight w:val="300"/>
        </w:trPr>
        <w:tc>
          <w:tcPr>
            <w:tcW w:w="5500" w:type="dxa"/>
            <w:tcBorders>
              <w:top w:val="nil"/>
              <w:left w:val="nil"/>
              <w:bottom w:val="nil"/>
              <w:right w:val="nil"/>
            </w:tcBorders>
            <w:vAlign w:val="bottom"/>
          </w:tcPr>
          <w:p w:rsidR="00DD584C" w:rsidRDefault="00DD584C" w:rsidP="00410EA4">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(дата реєстрації емітентом електронного документа)</w:t>
            </w:r>
          </w:p>
        </w:tc>
      </w:tr>
      <w:tr w:rsidR="00DD584C" w:rsidTr="00410EA4">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DD584C" w:rsidRDefault="00DD584C" w:rsidP="00DD584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0927/2/22</w:t>
            </w:r>
          </w:p>
        </w:tc>
      </w:tr>
      <w:tr w:rsidR="00DD584C" w:rsidTr="00410EA4">
        <w:tblPrEx>
          <w:tblCellMar>
            <w:top w:w="0" w:type="dxa"/>
            <w:bottom w:w="0" w:type="dxa"/>
          </w:tblCellMar>
        </w:tblPrEx>
        <w:trPr>
          <w:trHeight w:val="300"/>
        </w:trPr>
        <w:tc>
          <w:tcPr>
            <w:tcW w:w="5500" w:type="dxa"/>
            <w:tcBorders>
              <w:top w:val="nil"/>
              <w:left w:val="nil"/>
              <w:bottom w:val="nil"/>
              <w:right w:val="nil"/>
            </w:tcBorders>
            <w:vAlign w:val="bottom"/>
          </w:tcPr>
          <w:p w:rsidR="00DD584C" w:rsidRDefault="00DD584C" w:rsidP="00410EA4">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rsidR="00DD584C" w:rsidRDefault="00DD584C" w:rsidP="00DD584C">
      <w:pPr>
        <w:widowControl w:val="0"/>
        <w:autoSpaceDE w:val="0"/>
        <w:autoSpaceDN w:val="0"/>
        <w:adjustRightInd w:val="0"/>
        <w:spacing w:after="0" w:line="240" w:lineRule="auto"/>
        <w:rPr>
          <w:rFonts w:ascii="Times New Roman CYR" w:hAnsi="Times New Roman CYR" w:cs="Times New Roman CYR"/>
          <w:sz w:val="20"/>
          <w:szCs w:val="20"/>
        </w:rPr>
      </w:pPr>
    </w:p>
    <w:p w:rsidR="00DD584C" w:rsidRDefault="00DD584C" w:rsidP="00DD584C">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0"/>
          <w:szCs w:val="20"/>
        </w:rPr>
        <w:tab/>
      </w: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p w:rsidR="00DD584C" w:rsidRDefault="00DD584C" w:rsidP="00DD584C">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640"/>
        <w:gridCol w:w="550"/>
        <w:gridCol w:w="1020"/>
        <w:gridCol w:w="50"/>
        <w:gridCol w:w="500"/>
        <w:gridCol w:w="4320"/>
      </w:tblGrid>
      <w:tr w:rsidR="00DD584C" w:rsidTr="00410EA4">
        <w:tblPrEx>
          <w:tblCellMar>
            <w:top w:w="0" w:type="dxa"/>
            <w:bottom w:w="0" w:type="dxa"/>
          </w:tblCellMar>
        </w:tblPrEx>
        <w:trPr>
          <w:trHeight w:val="200"/>
        </w:trPr>
        <w:tc>
          <w:tcPr>
            <w:tcW w:w="3640" w:type="dxa"/>
            <w:tcBorders>
              <w:top w:val="nil"/>
              <w:left w:val="nil"/>
              <w:bottom w:val="single" w:sz="6" w:space="0" w:color="auto"/>
              <w:right w:val="nil"/>
            </w:tcBorders>
            <w:vAlign w:val="bottom"/>
          </w:tcPr>
          <w:p w:rsidR="00DD584C" w:rsidRDefault="00DD584C" w:rsidP="00410EA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Голова </w:t>
            </w:r>
            <w:proofErr w:type="spellStart"/>
            <w:r>
              <w:rPr>
                <w:rFonts w:ascii="Times New Roman CYR" w:hAnsi="Times New Roman CYR" w:cs="Times New Roman CYR"/>
                <w:sz w:val="24"/>
                <w:szCs w:val="24"/>
              </w:rPr>
              <w:t>правлiння</w:t>
            </w:r>
            <w:proofErr w:type="spellEnd"/>
          </w:p>
        </w:tc>
        <w:tc>
          <w:tcPr>
            <w:tcW w:w="550" w:type="dxa"/>
            <w:tcBorders>
              <w:top w:val="nil"/>
              <w:left w:val="nil"/>
              <w:bottom w:val="nil"/>
              <w:right w:val="nil"/>
            </w:tcBorders>
          </w:tcPr>
          <w:p w:rsidR="00DD584C" w:rsidRDefault="00DD584C" w:rsidP="00410EA4">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20" w:type="dxa"/>
            <w:tcBorders>
              <w:top w:val="nil"/>
              <w:left w:val="nil"/>
              <w:bottom w:val="single" w:sz="6" w:space="0" w:color="auto"/>
              <w:right w:val="nil"/>
            </w:tcBorders>
            <w:vAlign w:val="bottom"/>
          </w:tcPr>
          <w:p w:rsidR="00DD584C" w:rsidRDefault="00DD584C" w:rsidP="00410EA4">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550" w:type="dxa"/>
            <w:gridSpan w:val="2"/>
            <w:tcBorders>
              <w:top w:val="nil"/>
              <w:left w:val="nil"/>
              <w:bottom w:val="nil"/>
              <w:right w:val="nil"/>
            </w:tcBorders>
          </w:tcPr>
          <w:p w:rsidR="00DD584C" w:rsidRDefault="00DD584C" w:rsidP="00410EA4">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320" w:type="dxa"/>
            <w:tcBorders>
              <w:top w:val="nil"/>
              <w:left w:val="nil"/>
              <w:bottom w:val="single" w:sz="6" w:space="0" w:color="auto"/>
              <w:right w:val="nil"/>
            </w:tcBorders>
            <w:vAlign w:val="bottom"/>
          </w:tcPr>
          <w:p w:rsidR="00DD584C" w:rsidRDefault="00DD584C" w:rsidP="00410EA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Гусєва I.О.</w:t>
            </w:r>
          </w:p>
        </w:tc>
      </w:tr>
      <w:tr w:rsidR="00DD584C" w:rsidTr="00410EA4">
        <w:tblPrEx>
          <w:tblCellMar>
            <w:top w:w="0" w:type="dxa"/>
            <w:bottom w:w="0" w:type="dxa"/>
          </w:tblCellMar>
        </w:tblPrEx>
        <w:trPr>
          <w:trHeight w:val="200"/>
        </w:trPr>
        <w:tc>
          <w:tcPr>
            <w:tcW w:w="3640" w:type="dxa"/>
            <w:tcBorders>
              <w:top w:val="nil"/>
              <w:left w:val="nil"/>
              <w:bottom w:val="nil"/>
              <w:right w:val="nil"/>
            </w:tcBorders>
          </w:tcPr>
          <w:p w:rsidR="00DD584C" w:rsidRDefault="00DD584C" w:rsidP="00410EA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1620" w:type="dxa"/>
            <w:gridSpan w:val="3"/>
            <w:tcBorders>
              <w:top w:val="nil"/>
              <w:left w:val="nil"/>
              <w:bottom w:val="nil"/>
              <w:right w:val="nil"/>
            </w:tcBorders>
          </w:tcPr>
          <w:p w:rsidR="00DD584C" w:rsidRDefault="00DD584C" w:rsidP="00410EA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(підпис)</w:t>
            </w:r>
          </w:p>
        </w:tc>
        <w:tc>
          <w:tcPr>
            <w:tcW w:w="4820" w:type="dxa"/>
            <w:gridSpan w:val="2"/>
            <w:tcBorders>
              <w:top w:val="nil"/>
              <w:left w:val="nil"/>
              <w:bottom w:val="nil"/>
              <w:right w:val="nil"/>
            </w:tcBorders>
          </w:tcPr>
          <w:p w:rsidR="00DD584C" w:rsidRDefault="00DD584C" w:rsidP="00410EA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 емітента)</w:t>
            </w:r>
          </w:p>
        </w:tc>
      </w:tr>
    </w:tbl>
    <w:p w:rsidR="00DD584C" w:rsidRDefault="00DD584C" w:rsidP="00DD584C">
      <w:pPr>
        <w:widowControl w:val="0"/>
        <w:autoSpaceDE w:val="0"/>
        <w:autoSpaceDN w:val="0"/>
        <w:adjustRightInd w:val="0"/>
        <w:spacing w:after="0" w:line="240" w:lineRule="auto"/>
        <w:rPr>
          <w:rFonts w:ascii="Times New Roman CYR" w:hAnsi="Times New Roman CYR" w:cs="Times New Roman CYR"/>
          <w:sz w:val="20"/>
          <w:szCs w:val="20"/>
        </w:rPr>
      </w:pPr>
    </w:p>
    <w:p w:rsidR="00DD584C" w:rsidRDefault="00DD584C" w:rsidP="00DD584C">
      <w:pPr>
        <w:widowControl w:val="0"/>
        <w:autoSpaceDE w:val="0"/>
        <w:autoSpaceDN w:val="0"/>
        <w:adjustRightInd w:val="0"/>
        <w:spacing w:after="0" w:line="240" w:lineRule="auto"/>
        <w:rPr>
          <w:rFonts w:ascii="Times New Roman CYR" w:hAnsi="Times New Roman CYR" w:cs="Times New Roman CYR"/>
          <w:sz w:val="20"/>
          <w:szCs w:val="20"/>
        </w:rPr>
      </w:pPr>
    </w:p>
    <w:p w:rsidR="00DD584C" w:rsidRDefault="00DD584C" w:rsidP="00DD584C">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Проміжна інформація емітента цінних паперів</w:t>
      </w:r>
    </w:p>
    <w:p w:rsidR="00DD584C" w:rsidRDefault="00DD584C" w:rsidP="00DD584C">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1 квартал 2022 року</w:t>
      </w:r>
    </w:p>
    <w:p w:rsidR="00DD584C" w:rsidRDefault="00DD584C" w:rsidP="00DD584C">
      <w:pPr>
        <w:widowControl w:val="0"/>
        <w:autoSpaceDE w:val="0"/>
        <w:autoSpaceDN w:val="0"/>
        <w:adjustRightInd w:val="0"/>
        <w:spacing w:after="0" w:line="240" w:lineRule="auto"/>
        <w:rPr>
          <w:rFonts w:ascii="Times New Roman CYR" w:hAnsi="Times New Roman CYR" w:cs="Times New Roman CYR"/>
          <w:b/>
          <w:bCs/>
          <w:sz w:val="24"/>
          <w:szCs w:val="24"/>
        </w:rPr>
      </w:pPr>
    </w:p>
    <w:p w:rsidR="00DD584C" w:rsidRDefault="00DD584C" w:rsidP="00DD584C">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 Загальні відомості</w:t>
      </w:r>
    </w:p>
    <w:p w:rsidR="00DD584C" w:rsidRDefault="00DD584C" w:rsidP="00DD584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D584C" w:rsidRDefault="00DD584C" w:rsidP="00DD584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 Повне найменування емітента: 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w:t>
      </w:r>
    </w:p>
    <w:p w:rsidR="00DD584C" w:rsidRDefault="00DD584C" w:rsidP="00DD584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 Акціонерне товариство</w:t>
      </w:r>
    </w:p>
    <w:p w:rsidR="00DD584C" w:rsidRDefault="00DD584C" w:rsidP="00DD584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 33832772</w:t>
      </w:r>
    </w:p>
    <w:p w:rsidR="00DD584C" w:rsidRDefault="00DD584C" w:rsidP="00DD584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4. Місцезнаходження: 03115, м. Київ, вул. </w:t>
      </w:r>
      <w:proofErr w:type="spellStart"/>
      <w:r>
        <w:rPr>
          <w:rFonts w:ascii="Times New Roman CYR" w:hAnsi="Times New Roman CYR" w:cs="Times New Roman CYR"/>
          <w:sz w:val="24"/>
          <w:szCs w:val="24"/>
        </w:rPr>
        <w:t>Львiвська</w:t>
      </w:r>
      <w:proofErr w:type="spellEnd"/>
      <w:r>
        <w:rPr>
          <w:rFonts w:ascii="Times New Roman CYR" w:hAnsi="Times New Roman CYR" w:cs="Times New Roman CYR"/>
          <w:sz w:val="24"/>
          <w:szCs w:val="24"/>
        </w:rPr>
        <w:t>, 22</w:t>
      </w:r>
    </w:p>
    <w:p w:rsidR="00DD584C" w:rsidRDefault="00DD584C" w:rsidP="00DD584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Міжміський код, телефон та факс: 0445370387, 0445370386</w:t>
      </w:r>
    </w:p>
    <w:p w:rsidR="00DD584C" w:rsidRDefault="00DD584C" w:rsidP="00DD584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 sgu@sgu.com.ua</w:t>
      </w:r>
    </w:p>
    <w:p w:rsidR="00DD584C" w:rsidRDefault="00DD584C" w:rsidP="00DD584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7.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 (у разі здійснення оприлюднення): </w:t>
      </w:r>
    </w:p>
    <w:p w:rsidR="00DD584C" w:rsidRDefault="00DD584C" w:rsidP="00DD584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 Державна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фондового ринку України", 21676262, Україна, DR/00002/ARM</w:t>
      </w:r>
    </w:p>
    <w:p w:rsidR="00DD584C" w:rsidRDefault="00DD584C" w:rsidP="00DD584C">
      <w:pPr>
        <w:widowControl w:val="0"/>
        <w:autoSpaceDE w:val="0"/>
        <w:autoSpaceDN w:val="0"/>
        <w:adjustRightInd w:val="0"/>
        <w:spacing w:after="0" w:line="240" w:lineRule="auto"/>
        <w:rPr>
          <w:rFonts w:ascii="Times New Roman CYR" w:hAnsi="Times New Roman CYR" w:cs="Times New Roman CYR"/>
          <w:sz w:val="24"/>
          <w:szCs w:val="24"/>
        </w:rPr>
      </w:pPr>
    </w:p>
    <w:p w:rsidR="00DD584C" w:rsidRDefault="00DD584C" w:rsidP="00DD584C">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II. Дані про дату та місце оприлюднення проміжної інформації</w:t>
      </w:r>
    </w:p>
    <w:p w:rsidR="00DD584C" w:rsidRDefault="00DD584C" w:rsidP="00DD584C">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450"/>
        <w:gridCol w:w="4130"/>
        <w:gridCol w:w="1500"/>
      </w:tblGrid>
      <w:tr w:rsidR="00DD584C" w:rsidTr="00410EA4">
        <w:tblPrEx>
          <w:tblCellMar>
            <w:top w:w="0" w:type="dxa"/>
            <w:bottom w:w="0" w:type="dxa"/>
          </w:tblCellMar>
        </w:tblPrEx>
        <w:trPr>
          <w:trHeight w:val="300"/>
        </w:trPr>
        <w:tc>
          <w:tcPr>
            <w:tcW w:w="4450" w:type="dxa"/>
            <w:tcBorders>
              <w:top w:val="nil"/>
              <w:left w:val="nil"/>
              <w:bottom w:val="nil"/>
              <w:right w:val="nil"/>
            </w:tcBorders>
            <w:vAlign w:val="bottom"/>
          </w:tcPr>
          <w:p w:rsidR="00DD584C" w:rsidRDefault="00DD584C" w:rsidP="00410EA4">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Проміжну інформацію розміщено на власному </w:t>
            </w:r>
            <w:proofErr w:type="spellStart"/>
            <w:r>
              <w:rPr>
                <w:rFonts w:ascii="Times New Roman CYR" w:hAnsi="Times New Roman CYR" w:cs="Times New Roman CYR"/>
                <w:sz w:val="24"/>
                <w:szCs w:val="24"/>
              </w:rPr>
              <w:t>веб-сайті</w:t>
            </w:r>
            <w:proofErr w:type="spellEnd"/>
            <w:r>
              <w:rPr>
                <w:rFonts w:ascii="Times New Roman CYR" w:hAnsi="Times New Roman CYR" w:cs="Times New Roman CYR"/>
                <w:sz w:val="24"/>
                <w:szCs w:val="24"/>
              </w:rPr>
              <w:t xml:space="preserve"> учасника фондового ринку</w:t>
            </w:r>
          </w:p>
        </w:tc>
        <w:tc>
          <w:tcPr>
            <w:tcW w:w="4130" w:type="dxa"/>
            <w:tcBorders>
              <w:top w:val="nil"/>
              <w:left w:val="nil"/>
              <w:bottom w:val="single" w:sz="6" w:space="0" w:color="auto"/>
              <w:right w:val="nil"/>
            </w:tcBorders>
            <w:vAlign w:val="bottom"/>
          </w:tcPr>
          <w:p w:rsidR="00DD584C" w:rsidRDefault="00DD584C" w:rsidP="00410EA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http://www.sgu.com.ua/report.html</w:t>
            </w:r>
          </w:p>
        </w:tc>
        <w:tc>
          <w:tcPr>
            <w:tcW w:w="1500" w:type="dxa"/>
            <w:tcBorders>
              <w:top w:val="nil"/>
              <w:left w:val="nil"/>
              <w:bottom w:val="single" w:sz="6" w:space="0" w:color="auto"/>
              <w:right w:val="nil"/>
            </w:tcBorders>
            <w:vAlign w:val="bottom"/>
          </w:tcPr>
          <w:p w:rsidR="00DD584C" w:rsidRDefault="00DD584C" w:rsidP="00410EA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27.09.2022</w:t>
            </w:r>
          </w:p>
        </w:tc>
      </w:tr>
      <w:tr w:rsidR="00DD584C" w:rsidTr="00410EA4">
        <w:tblPrEx>
          <w:tblCellMar>
            <w:top w:w="0" w:type="dxa"/>
            <w:bottom w:w="0" w:type="dxa"/>
          </w:tblCellMar>
        </w:tblPrEx>
        <w:trPr>
          <w:trHeight w:val="300"/>
        </w:trPr>
        <w:tc>
          <w:tcPr>
            <w:tcW w:w="4450" w:type="dxa"/>
            <w:tcBorders>
              <w:top w:val="nil"/>
              <w:left w:val="nil"/>
              <w:bottom w:val="nil"/>
              <w:right w:val="nil"/>
            </w:tcBorders>
            <w:vAlign w:val="bottom"/>
          </w:tcPr>
          <w:p w:rsidR="00DD584C" w:rsidRDefault="00DD584C" w:rsidP="00410EA4">
            <w:pPr>
              <w:widowControl w:val="0"/>
              <w:autoSpaceDE w:val="0"/>
              <w:autoSpaceDN w:val="0"/>
              <w:adjustRightInd w:val="0"/>
              <w:spacing w:after="0" w:line="240" w:lineRule="auto"/>
              <w:rPr>
                <w:rFonts w:ascii="Times New Roman CYR" w:hAnsi="Times New Roman CYR" w:cs="Times New Roman CYR"/>
                <w:sz w:val="20"/>
                <w:szCs w:val="20"/>
              </w:rPr>
            </w:pPr>
          </w:p>
        </w:tc>
        <w:tc>
          <w:tcPr>
            <w:tcW w:w="4130" w:type="dxa"/>
            <w:tcBorders>
              <w:top w:val="nil"/>
              <w:left w:val="nil"/>
              <w:bottom w:val="nil"/>
              <w:right w:val="nil"/>
            </w:tcBorders>
            <w:vAlign w:val="bottom"/>
          </w:tcPr>
          <w:p w:rsidR="00DD584C" w:rsidRDefault="00DD584C" w:rsidP="00410EA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(URL-адреса сторінки)</w:t>
            </w:r>
          </w:p>
        </w:tc>
        <w:tc>
          <w:tcPr>
            <w:tcW w:w="1500" w:type="dxa"/>
            <w:tcBorders>
              <w:top w:val="nil"/>
              <w:left w:val="nil"/>
              <w:bottom w:val="nil"/>
              <w:right w:val="nil"/>
            </w:tcBorders>
            <w:vAlign w:val="bottom"/>
          </w:tcPr>
          <w:p w:rsidR="00DD584C" w:rsidRDefault="00DD584C" w:rsidP="00410EA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rsidR="008D142D" w:rsidRDefault="008D142D">
      <w:pPr>
        <w:widowControl w:val="0"/>
        <w:autoSpaceDE w:val="0"/>
        <w:autoSpaceDN w:val="0"/>
        <w:adjustRightInd w:val="0"/>
        <w:spacing w:after="0" w:line="240" w:lineRule="auto"/>
        <w:rPr>
          <w:rFonts w:ascii="Times New Roman CYR" w:hAnsi="Times New Roman CYR" w:cs="Times New Roman CYR"/>
          <w:sz w:val="20"/>
          <w:szCs w:val="20"/>
        </w:rPr>
        <w:sectPr w:rsidR="008D142D">
          <w:pgSz w:w="12240" w:h="15840"/>
          <w:pgMar w:top="850" w:right="850" w:bottom="850" w:left="1400" w:header="708" w:footer="708" w:gutter="0"/>
          <w:cols w:space="720"/>
          <w:noEndnote/>
        </w:sect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Зміст</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8"/>
          <w:szCs w:val="28"/>
        </w:rPr>
        <w:tab/>
      </w:r>
      <w:r>
        <w:rPr>
          <w:rFonts w:ascii="Times New Roman CYR" w:hAnsi="Times New Roman CYR" w:cs="Times New Roman CYR"/>
          <w:sz w:val="24"/>
          <w:szCs w:val="24"/>
        </w:rPr>
        <w:t>Відмітьте (Х), якщо відповідна інформація міститься у проміжній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9000"/>
        <w:gridCol w:w="1000"/>
      </w:tblGrid>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Основні відомості про емітента</w:t>
            </w:r>
          </w:p>
        </w:tc>
        <w:tc>
          <w:tcPr>
            <w:tcW w:w="1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одержані ліцензії на окремі види діяльності</w:t>
            </w:r>
          </w:p>
        </w:tc>
        <w:tc>
          <w:tcPr>
            <w:tcW w:w="1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посадових осіб емітента</w:t>
            </w:r>
          </w:p>
        </w:tc>
        <w:tc>
          <w:tcPr>
            <w:tcW w:w="1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про господарську та фінансову діяльність емітента:</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зобов'язання та забезпечення емітента</w:t>
            </w:r>
          </w:p>
        </w:tc>
        <w:tc>
          <w:tcPr>
            <w:tcW w:w="1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обсяги виробництва та реалізації основних видів продукції</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собівартість реалізованої продукції</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Відомості про цінні папери емітента:</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випуски акцій емітента</w:t>
            </w:r>
          </w:p>
        </w:tc>
        <w:tc>
          <w:tcPr>
            <w:tcW w:w="1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облігації емітента</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інші цінні папери, випущені емітентом</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4) інформація про похідні цінні папери емітента</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6. Відомості щодо участі емітента в юридичних особах </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Інформація щодо корпоративного секретаря</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Інформація про вчинення значних правочинів</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 </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10.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 Інформація про забезпечення випуску боргових цінних паперів</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12. Інформація про конвертацію цінних паперів</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13. Інформація про заміну управителя</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 Інформація про керуючого іпотекою</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15. Інформація про трансформацію (перетворення) іпотечних активів</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 Інформація про зміни в реєстрі забезпечення іпотечних сертифікатів за кожним консолідованим іпотечним боргом</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17. Інформація про іпотечне покриття:</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заміну іпотечних активів у складі іпотечного покриття</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4) інформація про заміни іпотечних активів у складі іпотечного покриття або включення нових іпотечних активів до складу іпотечного покриття </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18. Інформація про заміну фінансової установи, яка здійснює обслуговування іпотечних активів</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20. Звіт про стан об'єкта нерухомості (у разі емісії цільових облігацій підприємств, </w:t>
            </w:r>
            <w:r>
              <w:rPr>
                <w:rFonts w:ascii="Times New Roman CYR" w:hAnsi="Times New Roman CYR" w:cs="Times New Roman CYR"/>
                <w:sz w:val="24"/>
                <w:szCs w:val="24"/>
              </w:rPr>
              <w:lastRenderedPageBreak/>
              <w:t>виконання зобов'язань за якими здійснюється шляхом передачі об'єкта (частини об'єкта) житлового будівництва)</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21. Проміжна фінансова звітність емітента, складена за положеннями (стандартами) бухгалтерського обліку</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22. Проміжна фінансова звітність емітента, складена за міжнародними стандартами фінансової звітності</w:t>
            </w:r>
          </w:p>
        </w:tc>
        <w:tc>
          <w:tcPr>
            <w:tcW w:w="1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23. Висновок про огляд проміжної фінансової звітності, підготовлений аудитором (аудиторською фірмою)</w:t>
            </w:r>
          </w:p>
        </w:tc>
        <w:tc>
          <w:tcPr>
            <w:tcW w:w="1000" w:type="dxa"/>
            <w:tcBorders>
              <w:top w:val="nil"/>
              <w:left w:val="nil"/>
              <w:bottom w:val="nil"/>
              <w:right w:val="nil"/>
            </w:tcBorders>
            <w:vAlign w:val="bottom"/>
          </w:tcPr>
          <w:p w:rsidR="008D142D" w:rsidRDefault="008D142D">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24. Проміжний звіт керівництва</w:t>
            </w:r>
          </w:p>
        </w:tc>
        <w:tc>
          <w:tcPr>
            <w:tcW w:w="1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D142D">
        <w:trPr>
          <w:trHeight w:val="300"/>
        </w:trPr>
        <w:tc>
          <w:tcPr>
            <w:tcW w:w="9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25. Твердження щодо проміжної інформації</w:t>
            </w:r>
          </w:p>
        </w:tc>
        <w:tc>
          <w:tcPr>
            <w:tcW w:w="1000" w:type="dxa"/>
            <w:tcBorders>
              <w:top w:val="nil"/>
              <w:left w:val="nil"/>
              <w:bottom w:val="nil"/>
              <w:right w:val="nil"/>
            </w:tcBorders>
            <w:vAlign w:val="bottom"/>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D142D">
        <w:trPr>
          <w:trHeight w:val="300"/>
        </w:trPr>
        <w:tc>
          <w:tcPr>
            <w:tcW w:w="10000" w:type="dxa"/>
            <w:gridSpan w:val="2"/>
            <w:tcBorders>
              <w:top w:val="nil"/>
              <w:left w:val="nil"/>
              <w:bottom w:val="nil"/>
              <w:right w:val="nil"/>
            </w:tcBorders>
            <w:vAlign w:val="bottom"/>
          </w:tcPr>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26. Примітки:</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обсяги виробництва та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основних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собiвартiсть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реалiзованої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не надається, тому що Товариство не займається видами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класифiкуються</w:t>
            </w:r>
            <w:proofErr w:type="spellEnd"/>
            <w:r>
              <w:rPr>
                <w:rFonts w:ascii="Times New Roman CYR" w:hAnsi="Times New Roman CYR" w:cs="Times New Roman CYR"/>
                <w:sz w:val="24"/>
                <w:szCs w:val="24"/>
              </w:rPr>
              <w:t xml:space="preserve"> як переробна, добувна </w:t>
            </w:r>
            <w:proofErr w:type="spellStart"/>
            <w:r>
              <w:rPr>
                <w:rFonts w:ascii="Times New Roman CYR" w:hAnsi="Times New Roman CYR" w:cs="Times New Roman CYR"/>
                <w:sz w:val="24"/>
                <w:szCs w:val="24"/>
              </w:rPr>
              <w:t>промисловiсть</w:t>
            </w:r>
            <w:proofErr w:type="spellEnd"/>
            <w:r>
              <w:rPr>
                <w:rFonts w:ascii="Times New Roman CYR" w:hAnsi="Times New Roman CYR" w:cs="Times New Roman CYR"/>
                <w:sz w:val="24"/>
                <w:szCs w:val="24"/>
              </w:rPr>
              <w:t xml:space="preserve"> або виробництво та </w:t>
            </w:r>
            <w:proofErr w:type="spellStart"/>
            <w:r>
              <w:rPr>
                <w:rFonts w:ascii="Times New Roman CYR" w:hAnsi="Times New Roman CYR" w:cs="Times New Roman CYR"/>
                <w:sz w:val="24"/>
                <w:szCs w:val="24"/>
              </w:rPr>
              <w:t>розподiлення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газу та води за </w:t>
            </w:r>
            <w:proofErr w:type="spellStart"/>
            <w:r>
              <w:rPr>
                <w:rFonts w:ascii="Times New Roman CYR" w:hAnsi="Times New Roman CYR" w:cs="Times New Roman CYR"/>
                <w:sz w:val="24"/>
                <w:szCs w:val="24"/>
              </w:rPr>
              <w:t>класифiкатором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економiчної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w:t>
            </w:r>
            <w:proofErr w:type="spellStart"/>
            <w:r>
              <w:rPr>
                <w:rFonts w:ascii="Times New Roman CYR" w:hAnsi="Times New Roman CYR" w:cs="Times New Roman CYR"/>
                <w:sz w:val="24"/>
                <w:szCs w:val="24"/>
              </w:rPr>
              <w:t>випущенi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емiтентом</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похiднi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похiднi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Вiдомостi</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юридичних особах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 xml:space="preserve">, тому що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в яких </w:t>
            </w:r>
            <w:proofErr w:type="spellStart"/>
            <w:r>
              <w:rPr>
                <w:rFonts w:ascii="Times New Roman CYR" w:hAnsi="Times New Roman CYR" w:cs="Times New Roman CYR"/>
                <w:sz w:val="24"/>
                <w:szCs w:val="24"/>
              </w:rPr>
              <w:t>емiтенту</w:t>
            </w:r>
            <w:proofErr w:type="spellEnd"/>
            <w:r>
              <w:rPr>
                <w:rFonts w:ascii="Times New Roman CYR" w:hAnsi="Times New Roman CYR" w:cs="Times New Roman CYR"/>
                <w:sz w:val="24"/>
                <w:szCs w:val="24"/>
              </w:rPr>
              <w:t xml:space="preserve"> належить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5%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(часток,паїв) немає;</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корпоративного секретаря не надається, тому що посада корпоративного секретаря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не надається, тому що 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вчинялось.</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вчинення яких 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не надається, тому що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вчинення яких 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вчинялось.</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не надається, тому що Товариство не </w:t>
            </w:r>
            <w:proofErr w:type="spellStart"/>
            <w:r>
              <w:rPr>
                <w:rFonts w:ascii="Times New Roman CYR" w:hAnsi="Times New Roman CYR" w:cs="Times New Roman CYR"/>
                <w:sz w:val="24"/>
                <w:szCs w:val="24"/>
              </w:rPr>
              <w:t>виускало</w:t>
            </w:r>
            <w:proofErr w:type="spellEnd"/>
            <w:r>
              <w:rPr>
                <w:rFonts w:ascii="Times New Roman CYR" w:hAnsi="Times New Roman CYR" w:cs="Times New Roman CYR"/>
                <w:sz w:val="24"/>
                <w:szCs w:val="24"/>
              </w:rPr>
              <w:t xml:space="preserve">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поручителя (страховика/гаранта), що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(за кожним суб'єктом забезпечення окремо) не надається, тому що Товариство не </w:t>
            </w:r>
            <w:proofErr w:type="spellStart"/>
            <w:r>
              <w:rPr>
                <w:rFonts w:ascii="Times New Roman CYR" w:hAnsi="Times New Roman CYR" w:cs="Times New Roman CYR"/>
                <w:sz w:val="24"/>
                <w:szCs w:val="24"/>
              </w:rPr>
              <w:t>здiйснювало</w:t>
            </w:r>
            <w:proofErr w:type="spellEnd"/>
            <w:r>
              <w:rPr>
                <w:rFonts w:ascii="Times New Roman CYR" w:hAnsi="Times New Roman CYR" w:cs="Times New Roman CYR"/>
                <w:sz w:val="24"/>
                <w:szCs w:val="24"/>
              </w:rPr>
              <w:t xml:space="preserve"> випуск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стан об'єкта </w:t>
            </w:r>
            <w:proofErr w:type="spellStart"/>
            <w:r>
              <w:rPr>
                <w:rFonts w:ascii="Times New Roman CYR" w:hAnsi="Times New Roman CYR" w:cs="Times New Roman CYR"/>
                <w:sz w:val="24"/>
                <w:szCs w:val="24"/>
              </w:rPr>
              <w:t>нерухомостi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емiсiї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виконання зобов'язань за якими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шляхом передання об'єкта (частини об'єкта) житлового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складена за положеннями (стандартами) бухгалтерського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не надається, тому що Товариство подає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складену за </w:t>
            </w:r>
            <w:proofErr w:type="spellStart"/>
            <w:r>
              <w:rPr>
                <w:rFonts w:ascii="Times New Roman CYR" w:hAnsi="Times New Roman CYR" w:cs="Times New Roman CYR"/>
                <w:sz w:val="24"/>
                <w:szCs w:val="24"/>
              </w:rPr>
              <w:t>мiжнародними</w:t>
            </w:r>
            <w:proofErr w:type="spellEnd"/>
            <w:r>
              <w:rPr>
                <w:rFonts w:ascii="Times New Roman CYR" w:hAnsi="Times New Roman CYR" w:cs="Times New Roman CYR"/>
                <w:sz w:val="24"/>
                <w:szCs w:val="24"/>
              </w:rPr>
              <w:t xml:space="preserve"> стандартами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Висновок про огляд </w:t>
            </w:r>
            <w:proofErr w:type="spellStart"/>
            <w:r>
              <w:rPr>
                <w:rFonts w:ascii="Times New Roman CYR" w:hAnsi="Times New Roman CYR" w:cs="Times New Roman CYR"/>
                <w:sz w:val="24"/>
                <w:szCs w:val="24"/>
              </w:rPr>
              <w:t>промiжної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пiдготовлений</w:t>
            </w:r>
            <w:proofErr w:type="spellEnd"/>
            <w:r>
              <w:rPr>
                <w:rFonts w:ascii="Times New Roman CYR" w:hAnsi="Times New Roman CYR" w:cs="Times New Roman CYR"/>
                <w:sz w:val="24"/>
                <w:szCs w:val="24"/>
              </w:rPr>
              <w:t xml:space="preserve"> аудитор (аудиторською </w:t>
            </w:r>
            <w:proofErr w:type="spellStart"/>
            <w:r>
              <w:rPr>
                <w:rFonts w:ascii="Times New Roman CYR" w:hAnsi="Times New Roman CYR" w:cs="Times New Roman CYR"/>
                <w:sz w:val="24"/>
                <w:szCs w:val="24"/>
              </w:rPr>
              <w:t>фiрмою</w:t>
            </w:r>
            <w:proofErr w:type="spellEnd"/>
            <w:r>
              <w:rPr>
                <w:rFonts w:ascii="Times New Roman CYR" w:hAnsi="Times New Roman CYR" w:cs="Times New Roman CYR"/>
                <w:sz w:val="24"/>
                <w:szCs w:val="24"/>
              </w:rPr>
              <w:t xml:space="preserve">) не надається, тому що </w:t>
            </w: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не </w:t>
            </w:r>
            <w:proofErr w:type="spellStart"/>
            <w:r>
              <w:rPr>
                <w:rFonts w:ascii="Times New Roman CYR" w:hAnsi="Times New Roman CYR" w:cs="Times New Roman CYR"/>
                <w:sz w:val="24"/>
                <w:szCs w:val="24"/>
              </w:rPr>
              <w:t>перевiрялась</w:t>
            </w:r>
            <w:proofErr w:type="spellEnd"/>
            <w:r>
              <w:rPr>
                <w:rFonts w:ascii="Times New Roman CYR" w:hAnsi="Times New Roman CYR" w:cs="Times New Roman CYR"/>
                <w:sz w:val="24"/>
                <w:szCs w:val="24"/>
              </w:rPr>
              <w:t xml:space="preserve"> аудитором (аудиторською </w:t>
            </w:r>
            <w:proofErr w:type="spellStart"/>
            <w:r>
              <w:rPr>
                <w:rFonts w:ascii="Times New Roman CYR" w:hAnsi="Times New Roman CYR" w:cs="Times New Roman CYR"/>
                <w:sz w:val="24"/>
                <w:szCs w:val="24"/>
              </w:rPr>
              <w:t>фiрмою</w:t>
            </w:r>
            <w:proofErr w:type="spellEnd"/>
            <w:r>
              <w:rPr>
                <w:rFonts w:ascii="Times New Roman CYR" w:hAnsi="Times New Roman CYR" w:cs="Times New Roman CYR"/>
                <w:sz w:val="24"/>
                <w:szCs w:val="24"/>
              </w:rPr>
              <w:t>).</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зазначена в пунктах 12-18, не надається, тому що Товариство не випускало </w:t>
            </w:r>
            <w:proofErr w:type="spellStart"/>
            <w:r>
              <w:rPr>
                <w:rFonts w:ascii="Times New Roman CYR" w:hAnsi="Times New Roman CYR" w:cs="Times New Roman CYR"/>
                <w:sz w:val="24"/>
                <w:szCs w:val="24"/>
              </w:rPr>
              <w:t>iпотечнi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iпотечнi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сертифiкати</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сертифiкати</w:t>
            </w:r>
            <w:proofErr w:type="spellEnd"/>
            <w:r>
              <w:rPr>
                <w:rFonts w:ascii="Times New Roman CYR" w:hAnsi="Times New Roman CYR" w:cs="Times New Roman CYR"/>
                <w:sz w:val="24"/>
                <w:szCs w:val="24"/>
              </w:rPr>
              <w:t xml:space="preserve"> ФОН. </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 п. 10 "Засновники" </w:t>
            </w:r>
            <w:proofErr w:type="spellStart"/>
            <w:r>
              <w:rPr>
                <w:rFonts w:ascii="Times New Roman CYR" w:hAnsi="Times New Roman CYR" w:cs="Times New Roman CYR"/>
                <w:sz w:val="24"/>
                <w:szCs w:val="24"/>
              </w:rPr>
              <w:t>роздiлу</w:t>
            </w:r>
            <w:proofErr w:type="spellEnd"/>
            <w:r>
              <w:rPr>
                <w:rFonts w:ascii="Times New Roman CYR" w:hAnsi="Times New Roman CYR" w:cs="Times New Roman CYR"/>
                <w:sz w:val="24"/>
                <w:szCs w:val="24"/>
              </w:rPr>
              <w:t xml:space="preserve"> III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вiдомостi</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засновникiв</w:t>
            </w:r>
            <w:proofErr w:type="spellEnd"/>
            <w:r>
              <w:rPr>
                <w:rFonts w:ascii="Times New Roman CYR" w:hAnsi="Times New Roman CYR" w:cs="Times New Roman CYR"/>
                <w:sz w:val="24"/>
                <w:szCs w:val="24"/>
              </w:rPr>
              <w:t xml:space="preserve"> наведена на </w:t>
            </w:r>
            <w:proofErr w:type="spellStart"/>
            <w:r>
              <w:rPr>
                <w:rFonts w:ascii="Times New Roman CYR" w:hAnsi="Times New Roman CYR" w:cs="Times New Roman CYR"/>
                <w:sz w:val="24"/>
                <w:szCs w:val="24"/>
              </w:rPr>
              <w:t>пiдставi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данних</w:t>
            </w:r>
            <w:proofErr w:type="spellEnd"/>
            <w:r>
              <w:rPr>
                <w:rFonts w:ascii="Times New Roman CYR" w:hAnsi="Times New Roman CYR" w:cs="Times New Roman CYR"/>
                <w:sz w:val="24"/>
                <w:szCs w:val="24"/>
              </w:rPr>
              <w:t xml:space="preserve"> Протоколу </w:t>
            </w:r>
            <w:proofErr w:type="spellStart"/>
            <w:r>
              <w:rPr>
                <w:rFonts w:ascii="Times New Roman CYR" w:hAnsi="Times New Roman CYR" w:cs="Times New Roman CYR"/>
                <w:sz w:val="24"/>
                <w:szCs w:val="24"/>
              </w:rPr>
              <w:t>Засновникiв</w:t>
            </w:r>
            <w:proofErr w:type="spellEnd"/>
            <w:r>
              <w:rPr>
                <w:rFonts w:ascii="Times New Roman CYR" w:hAnsi="Times New Roman CYR" w:cs="Times New Roman CYR"/>
                <w:sz w:val="24"/>
                <w:szCs w:val="24"/>
              </w:rPr>
              <w:t xml:space="preserve"> №1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11.11.2005р.</w:t>
            </w:r>
          </w:p>
        </w:tc>
      </w:tr>
    </w:tbl>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sectPr w:rsidR="008D142D">
          <w:pgSz w:w="12240" w:h="15840"/>
          <w:pgMar w:top="850" w:right="850" w:bottom="850" w:left="1400" w:header="708" w:footer="708" w:gutter="0"/>
          <w:cols w:space="720"/>
          <w:noEndnote/>
        </w:sect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ІІІ. Основні відомості про емітента</w:t>
      </w:r>
    </w:p>
    <w:p w:rsidR="008D142D" w:rsidRDefault="00F22F7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 Повне найменування</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w:t>
      </w:r>
    </w:p>
    <w:p w:rsidR="008D142D" w:rsidRDefault="00F22F7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2. Дата проведення державної реєстрації</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16.11.2005</w:t>
      </w:r>
    </w:p>
    <w:p w:rsidR="008D142D" w:rsidRDefault="00F22F7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3. Територія (область)</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м.Київ</w:t>
      </w:r>
      <w:proofErr w:type="spellEnd"/>
    </w:p>
    <w:p w:rsidR="008D142D" w:rsidRDefault="00F22F7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4. Статутний капітал (</w:t>
      </w:r>
      <w:proofErr w:type="spellStart"/>
      <w:r>
        <w:rPr>
          <w:rFonts w:ascii="Times New Roman CYR" w:hAnsi="Times New Roman CYR" w:cs="Times New Roman CYR"/>
          <w:b/>
          <w:bCs/>
          <w:sz w:val="24"/>
          <w:szCs w:val="24"/>
        </w:rPr>
        <w:t>грн</w:t>
      </w:r>
      <w:proofErr w:type="spellEnd"/>
      <w:r>
        <w:rPr>
          <w:rFonts w:ascii="Times New Roman CYR" w:hAnsi="Times New Roman CYR" w:cs="Times New Roman CYR"/>
          <w:b/>
          <w:bCs/>
          <w:sz w:val="24"/>
          <w:szCs w:val="24"/>
        </w:rPr>
        <w:t xml:space="preserve">) </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12000000</w:t>
      </w:r>
    </w:p>
    <w:p w:rsidR="008D142D" w:rsidRDefault="00F22F7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5. Відсоток акцій у статутному капіталі, що належать державі</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8D142D" w:rsidRDefault="00F22F7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8D142D" w:rsidRDefault="00F22F7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Середня кількість працівників (осіб)</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14</w:t>
      </w:r>
    </w:p>
    <w:p w:rsidR="008D142D" w:rsidRDefault="00F22F7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8. Основні види діяльності із зазначенням найменування виду діяльності та коду за КВЕД</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65.12 -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види страхування,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страхування життя</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65.20 - Перестрахування</w:t>
      </w:r>
    </w:p>
    <w:p w:rsidR="008D142D" w:rsidRDefault="00F22F7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9. Органи управління підприємства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Загальнi</w:t>
      </w:r>
      <w:proofErr w:type="spellEnd"/>
      <w:r>
        <w:rPr>
          <w:rFonts w:ascii="Times New Roman CYR" w:hAnsi="Times New Roman CYR" w:cs="Times New Roman CYR"/>
          <w:sz w:val="24"/>
          <w:szCs w:val="24"/>
        </w:rPr>
        <w:t xml:space="preserve"> збори </w:t>
      </w:r>
      <w:proofErr w:type="spellStart"/>
      <w:r>
        <w:rPr>
          <w:rFonts w:ascii="Times New Roman CYR" w:hAnsi="Times New Roman CYR" w:cs="Times New Roman CYR"/>
          <w:sz w:val="24"/>
          <w:szCs w:val="24"/>
        </w:rPr>
        <w:t>акцiонерiв.Правлiння.Ревiзор</w:t>
      </w:r>
      <w:proofErr w:type="spellEnd"/>
      <w:r>
        <w:rPr>
          <w:rFonts w:ascii="Times New Roman CYR" w:hAnsi="Times New Roman CYR" w:cs="Times New Roman CYR"/>
          <w:sz w:val="24"/>
          <w:szCs w:val="24"/>
        </w:rPr>
        <w:t>.</w:t>
      </w:r>
    </w:p>
    <w:p w:rsidR="008D142D" w:rsidRDefault="00F22F7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10. Засновники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3920"/>
        <w:gridCol w:w="4000"/>
        <w:gridCol w:w="2000"/>
      </w:tblGrid>
      <w:tr w:rsidR="008D142D">
        <w:trPr>
          <w:trHeight w:val="200"/>
        </w:trPr>
        <w:tc>
          <w:tcPr>
            <w:tcW w:w="392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якщо засновник - фізична особа; найменування, якщо засновник - юридична особа</w:t>
            </w:r>
          </w:p>
        </w:tc>
        <w:tc>
          <w:tcPr>
            <w:tcW w:w="4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Місцезнаходження, якщо засновник - юридична особа</w:t>
            </w:r>
          </w:p>
        </w:tc>
        <w:tc>
          <w:tcPr>
            <w:tcW w:w="2000"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Ідентифікаційний код юридичної особи, якщо засновник - юридична особа</w:t>
            </w:r>
          </w:p>
        </w:tc>
      </w:tr>
      <w:tr w:rsidR="008D142D">
        <w:trPr>
          <w:trHeight w:val="200"/>
        </w:trPr>
        <w:tc>
          <w:tcPr>
            <w:tcW w:w="392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Закрите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"Видавництво "</w:t>
            </w:r>
            <w:proofErr w:type="spellStart"/>
            <w:r>
              <w:rPr>
                <w:rFonts w:ascii="Times New Roman CYR" w:hAnsi="Times New Roman CYR" w:cs="Times New Roman CYR"/>
              </w:rPr>
              <w:t>МультiМедiаСтар</w:t>
            </w:r>
            <w:proofErr w:type="spellEnd"/>
            <w:r>
              <w:rPr>
                <w:rFonts w:ascii="Times New Roman CYR" w:hAnsi="Times New Roman CYR" w:cs="Times New Roman CYR"/>
              </w:rPr>
              <w:t>"</w:t>
            </w:r>
          </w:p>
        </w:tc>
        <w:tc>
          <w:tcPr>
            <w:tcW w:w="4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Україна, 01103, м. Київ, вул. </w:t>
            </w:r>
            <w:proofErr w:type="spellStart"/>
            <w:r>
              <w:rPr>
                <w:rFonts w:ascii="Times New Roman CYR" w:hAnsi="Times New Roman CYR" w:cs="Times New Roman CYR"/>
              </w:rPr>
              <w:t>Кiквiдзе</w:t>
            </w:r>
            <w:proofErr w:type="spellEnd"/>
            <w:r>
              <w:rPr>
                <w:rFonts w:ascii="Times New Roman CYR" w:hAnsi="Times New Roman CYR" w:cs="Times New Roman CYR"/>
              </w:rPr>
              <w:t>, 26</w:t>
            </w:r>
          </w:p>
        </w:tc>
        <w:tc>
          <w:tcPr>
            <w:tcW w:w="2000"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32982651</w:t>
            </w:r>
          </w:p>
        </w:tc>
      </w:tr>
      <w:tr w:rsidR="008D142D">
        <w:trPr>
          <w:trHeight w:val="200"/>
        </w:trPr>
        <w:tc>
          <w:tcPr>
            <w:tcW w:w="392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Товариство з обмеженою </w:t>
            </w:r>
            <w:proofErr w:type="spellStart"/>
            <w:r>
              <w:rPr>
                <w:rFonts w:ascii="Times New Roman CYR" w:hAnsi="Times New Roman CYR" w:cs="Times New Roman CYR"/>
              </w:rPr>
              <w:t>вiдповiдальнiстю</w:t>
            </w:r>
            <w:proofErr w:type="spellEnd"/>
            <w:r>
              <w:rPr>
                <w:rFonts w:ascii="Times New Roman CYR" w:hAnsi="Times New Roman CYR" w:cs="Times New Roman CYR"/>
              </w:rPr>
              <w:t xml:space="preserve"> "</w:t>
            </w:r>
            <w:proofErr w:type="spellStart"/>
            <w:r>
              <w:rPr>
                <w:rFonts w:ascii="Times New Roman CYR" w:hAnsi="Times New Roman CYR" w:cs="Times New Roman CYR"/>
              </w:rPr>
              <w:t>Бритиш</w:t>
            </w:r>
            <w:proofErr w:type="spellEnd"/>
            <w:r>
              <w:rPr>
                <w:rFonts w:ascii="Times New Roman CYR" w:hAnsi="Times New Roman CYR" w:cs="Times New Roman CYR"/>
              </w:rPr>
              <w:t xml:space="preserve"> </w:t>
            </w:r>
            <w:proofErr w:type="spellStart"/>
            <w:r>
              <w:rPr>
                <w:rFonts w:ascii="Times New Roman CYR" w:hAnsi="Times New Roman CYR" w:cs="Times New Roman CYR"/>
              </w:rPr>
              <w:t>Моторс</w:t>
            </w:r>
            <w:proofErr w:type="spellEnd"/>
            <w:r>
              <w:rPr>
                <w:rFonts w:ascii="Times New Roman CYR" w:hAnsi="Times New Roman CYR" w:cs="Times New Roman CYR"/>
              </w:rPr>
              <w:t xml:space="preserve"> Україна"</w:t>
            </w:r>
          </w:p>
        </w:tc>
        <w:tc>
          <w:tcPr>
            <w:tcW w:w="4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Україна, 03069, </w:t>
            </w:r>
            <w:proofErr w:type="spellStart"/>
            <w:r>
              <w:rPr>
                <w:rFonts w:ascii="Times New Roman CYR" w:hAnsi="Times New Roman CYR" w:cs="Times New Roman CYR"/>
              </w:rPr>
              <w:t>мiсто</w:t>
            </w:r>
            <w:proofErr w:type="spellEnd"/>
            <w:r>
              <w:rPr>
                <w:rFonts w:ascii="Times New Roman CYR" w:hAnsi="Times New Roman CYR" w:cs="Times New Roman CYR"/>
              </w:rPr>
              <w:t xml:space="preserve"> Київ, вулиця </w:t>
            </w:r>
            <w:proofErr w:type="spellStart"/>
            <w:r>
              <w:rPr>
                <w:rFonts w:ascii="Times New Roman CYR" w:hAnsi="Times New Roman CYR" w:cs="Times New Roman CYR"/>
              </w:rPr>
              <w:t>Кiровоградська</w:t>
            </w:r>
            <w:proofErr w:type="spellEnd"/>
            <w:r>
              <w:rPr>
                <w:rFonts w:ascii="Times New Roman CYR" w:hAnsi="Times New Roman CYR" w:cs="Times New Roman CYR"/>
              </w:rPr>
              <w:t>, будинок 21-А</w:t>
            </w:r>
          </w:p>
        </w:tc>
        <w:tc>
          <w:tcPr>
            <w:tcW w:w="2000"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31200706</w:t>
            </w:r>
          </w:p>
        </w:tc>
      </w:tr>
      <w:tr w:rsidR="008D142D">
        <w:trPr>
          <w:trHeight w:val="200"/>
        </w:trPr>
        <w:tc>
          <w:tcPr>
            <w:tcW w:w="392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Корпорацiя</w:t>
            </w:r>
            <w:proofErr w:type="spellEnd"/>
            <w:r>
              <w:rPr>
                <w:rFonts w:ascii="Times New Roman CYR" w:hAnsi="Times New Roman CYR" w:cs="Times New Roman CYR"/>
              </w:rPr>
              <w:t xml:space="preserve"> "Феномен"</w:t>
            </w:r>
          </w:p>
        </w:tc>
        <w:tc>
          <w:tcPr>
            <w:tcW w:w="4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Україна, 01054, </w:t>
            </w:r>
            <w:proofErr w:type="spellStart"/>
            <w:r>
              <w:rPr>
                <w:rFonts w:ascii="Times New Roman CYR" w:hAnsi="Times New Roman CYR" w:cs="Times New Roman CYR"/>
              </w:rPr>
              <w:t>мiсто</w:t>
            </w:r>
            <w:proofErr w:type="spellEnd"/>
            <w:r>
              <w:rPr>
                <w:rFonts w:ascii="Times New Roman CYR" w:hAnsi="Times New Roman CYR" w:cs="Times New Roman CYR"/>
              </w:rPr>
              <w:t xml:space="preserve"> Київ, вулиця Б.Хмельницького, будинок 63-А</w:t>
            </w:r>
          </w:p>
        </w:tc>
        <w:tc>
          <w:tcPr>
            <w:tcW w:w="2000"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20048285</w:t>
            </w:r>
          </w:p>
        </w:tc>
      </w:tr>
    </w:tbl>
    <w:p w:rsidR="008D142D" w:rsidRDefault="00F22F7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Якщо кількість фізичних осіб - засновників емітента перевищує двадцять, зазначається загальна кількість фізичних осіб:</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8D142D" w:rsidRDefault="00F22F7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11. Банки, що обслуговують емітента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 банку (філії, відділення банку), який обслуговує емітента за поточним рахунком у національній валюті</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"ПРОКРЕДИТ БАНК", МФО 320984</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IBAN</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UA153209840000026509210110535</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поточний рахунок</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UA153209840000026509210110535</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найменування банку (філії, відділення банку), який обслуговує емітента за поточним рахунком в іноземній валюті</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w:t>
      </w:r>
      <w:proofErr w:type="spellStart"/>
      <w:r>
        <w:rPr>
          <w:rFonts w:ascii="Times New Roman CYR" w:hAnsi="Times New Roman CYR" w:cs="Times New Roman CYR"/>
          <w:sz w:val="24"/>
          <w:szCs w:val="24"/>
        </w:rPr>
        <w:t>Укрексiмбанк</w:t>
      </w:r>
      <w:proofErr w:type="spellEnd"/>
      <w:r>
        <w:rPr>
          <w:rFonts w:ascii="Times New Roman CYR" w:hAnsi="Times New Roman CYR" w:cs="Times New Roman CYR"/>
          <w:sz w:val="24"/>
          <w:szCs w:val="24"/>
        </w:rPr>
        <w:t>", МФО 322313</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IBAN</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 85 322313 00000 26500000000217</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поточний рахунок</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ab/>
        <w:t>UA 85 322313 00000 26500000000217</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IV. Інформація про одержані ліцензії на окремі види діяльності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3155"/>
        <w:gridCol w:w="1500"/>
        <w:gridCol w:w="1065"/>
        <w:gridCol w:w="3000"/>
        <w:gridCol w:w="1200"/>
      </w:tblGrid>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закінчення дії ліцензії (за наявності)</w:t>
            </w: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065"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3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200"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ризикiв</w:t>
            </w:r>
            <w:proofErr w:type="spellEnd"/>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584718</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вогневих </w:t>
            </w:r>
            <w:proofErr w:type="spellStart"/>
            <w:r>
              <w:rPr>
                <w:rFonts w:ascii="Times New Roman CYR" w:hAnsi="Times New Roman CYR" w:cs="Times New Roman CYR"/>
              </w:rPr>
              <w:t>ризикiв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таризикiв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стихiйних</w:t>
            </w:r>
            <w:proofErr w:type="spellEnd"/>
            <w:r>
              <w:rPr>
                <w:rFonts w:ascii="Times New Roman CYR" w:hAnsi="Times New Roman CYR" w:cs="Times New Roman CYR"/>
              </w:rPr>
              <w:t xml:space="preserve"> явищ</w:t>
            </w:r>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584720</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вантажiв</w:t>
            </w:r>
            <w:proofErr w:type="spellEnd"/>
            <w:r>
              <w:rPr>
                <w:rFonts w:ascii="Times New Roman CYR" w:hAnsi="Times New Roman CYR" w:cs="Times New Roman CYR"/>
              </w:rPr>
              <w:t xml:space="preserve"> та багажу(вантажобагажу)</w:t>
            </w:r>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584719</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вiдповiдальностi</w:t>
            </w:r>
            <w:proofErr w:type="spellEnd"/>
            <w:r>
              <w:rPr>
                <w:rFonts w:ascii="Times New Roman CYR" w:hAnsi="Times New Roman CYR" w:cs="Times New Roman CYR"/>
              </w:rPr>
              <w:t xml:space="preserve"> перед </w:t>
            </w:r>
            <w:proofErr w:type="spellStart"/>
            <w:r>
              <w:rPr>
                <w:rFonts w:ascii="Times New Roman CYR" w:hAnsi="Times New Roman CYR" w:cs="Times New Roman CYR"/>
              </w:rPr>
              <w:t>третiми</w:t>
            </w:r>
            <w:proofErr w:type="spellEnd"/>
            <w:r>
              <w:rPr>
                <w:rFonts w:ascii="Times New Roman CYR" w:hAnsi="Times New Roman CYR" w:cs="Times New Roman CYR"/>
              </w:rPr>
              <w:t xml:space="preserve"> особами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w:t>
            </w:r>
            <w:proofErr w:type="spellStart"/>
            <w:r>
              <w:rPr>
                <w:rFonts w:ascii="Times New Roman CYR" w:hAnsi="Times New Roman CYR" w:cs="Times New Roman CYR"/>
              </w:rPr>
              <w:t>цивiльної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наземного транспорту,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транспорту,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водного транспорту (включаючи </w:t>
            </w:r>
            <w:proofErr w:type="spellStart"/>
            <w:r>
              <w:rPr>
                <w:rFonts w:ascii="Times New Roman CYR" w:hAnsi="Times New Roman CYR" w:cs="Times New Roman CYR"/>
              </w:rPr>
              <w:t>вiд-ть</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перевiзника</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584724</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наземного транспорту(</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w:t>
            </w:r>
            <w:proofErr w:type="spellStart"/>
            <w:r>
              <w:rPr>
                <w:rFonts w:ascii="Times New Roman CYR" w:hAnsi="Times New Roman CYR" w:cs="Times New Roman CYR"/>
              </w:rPr>
              <w:t>залiзничного</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584722</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Медичне страхування (</w:t>
            </w:r>
            <w:proofErr w:type="spellStart"/>
            <w:r>
              <w:rPr>
                <w:rFonts w:ascii="Times New Roman CYR" w:hAnsi="Times New Roman CYR" w:cs="Times New Roman CYR"/>
              </w:rPr>
              <w:t>безперервнестрахування</w:t>
            </w:r>
            <w:proofErr w:type="spellEnd"/>
            <w:r>
              <w:rPr>
                <w:rFonts w:ascii="Times New Roman CYR" w:hAnsi="Times New Roman CYR" w:cs="Times New Roman CYR"/>
              </w:rPr>
              <w:t xml:space="preserve"> здоров'я)</w:t>
            </w:r>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584721</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нещасних </w:t>
            </w:r>
            <w:proofErr w:type="spellStart"/>
            <w:r>
              <w:rPr>
                <w:rFonts w:ascii="Times New Roman CYR" w:hAnsi="Times New Roman CYR" w:cs="Times New Roman CYR"/>
              </w:rPr>
              <w:t>випадкiв</w:t>
            </w:r>
            <w:proofErr w:type="spellEnd"/>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584723</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майна [</w:t>
            </w:r>
            <w:proofErr w:type="spellStart"/>
            <w:r>
              <w:rPr>
                <w:rFonts w:ascii="Times New Roman CYR" w:hAnsi="Times New Roman CYR" w:cs="Times New Roman CYR"/>
              </w:rPr>
              <w:t>крiмзалiзничного</w:t>
            </w:r>
            <w:proofErr w:type="spellEnd"/>
            <w:r>
              <w:rPr>
                <w:rFonts w:ascii="Times New Roman CYR" w:hAnsi="Times New Roman CYR" w:cs="Times New Roman CYR"/>
              </w:rPr>
              <w:t>, наземного,</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водного транспорту(морського </w:t>
            </w:r>
            <w:proofErr w:type="spellStart"/>
            <w:r>
              <w:rPr>
                <w:rFonts w:ascii="Times New Roman CYR" w:hAnsi="Times New Roman CYR" w:cs="Times New Roman CYR"/>
              </w:rPr>
              <w:t>внутрiшнього</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iншихвидiв</w:t>
            </w:r>
            <w:proofErr w:type="spellEnd"/>
            <w:r>
              <w:rPr>
                <w:rFonts w:ascii="Times New Roman CYR" w:hAnsi="Times New Roman CYR" w:cs="Times New Roman CYR"/>
              </w:rPr>
              <w:t xml:space="preserve"> </w:t>
            </w:r>
            <w:r>
              <w:rPr>
                <w:rFonts w:ascii="Times New Roman CYR" w:hAnsi="Times New Roman CYR" w:cs="Times New Roman CYR"/>
              </w:rPr>
              <w:lastRenderedPageBreak/>
              <w:t xml:space="preserve">водного транспорту), </w:t>
            </w:r>
            <w:proofErr w:type="spellStart"/>
            <w:r>
              <w:rPr>
                <w:rFonts w:ascii="Times New Roman CYR" w:hAnsi="Times New Roman CYR" w:cs="Times New Roman CYR"/>
              </w:rPr>
              <w:t>вантажiвта</w:t>
            </w:r>
            <w:proofErr w:type="spellEnd"/>
            <w:r>
              <w:rPr>
                <w:rFonts w:ascii="Times New Roman CYR" w:hAnsi="Times New Roman CYR" w:cs="Times New Roman CYR"/>
              </w:rPr>
              <w:t xml:space="preserve"> багажу (вантажобагажу)]</w:t>
            </w:r>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АВ № 584714</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повiтряноготранспорту</w:t>
            </w:r>
            <w:proofErr w:type="spellEnd"/>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АB № 584717</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25.05.2006</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вiдповiдальностiвласникiв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транспорту(включаючи </w:t>
            </w:r>
            <w:proofErr w:type="spellStart"/>
            <w:r>
              <w:rPr>
                <w:rFonts w:ascii="Times New Roman CYR" w:hAnsi="Times New Roman CYR" w:cs="Times New Roman CYR"/>
              </w:rPr>
              <w:t>вiдповiдальнiстьперевiзника</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АB № 584728</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25.05.2006</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медичних витрат</w:t>
            </w:r>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584715</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05.10.2006</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Особисте страхування </w:t>
            </w:r>
            <w:proofErr w:type="spellStart"/>
            <w:r>
              <w:rPr>
                <w:rFonts w:ascii="Times New Roman CYR" w:hAnsi="Times New Roman CYR" w:cs="Times New Roman CYR"/>
              </w:rPr>
              <w:t>працiвникiввiдомчої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тих, </w:t>
            </w:r>
            <w:proofErr w:type="spellStart"/>
            <w:r>
              <w:rPr>
                <w:rFonts w:ascii="Times New Roman CYR" w:hAnsi="Times New Roman CYR" w:cs="Times New Roman CYR"/>
              </w:rPr>
              <w:t>якi</w:t>
            </w:r>
            <w:proofErr w:type="spellEnd"/>
            <w:r>
              <w:rPr>
                <w:rFonts w:ascii="Times New Roman CYR" w:hAnsi="Times New Roman CYR" w:cs="Times New Roman CYR"/>
              </w:rPr>
              <w:t xml:space="preserve"> працюють </w:t>
            </w:r>
            <w:proofErr w:type="spellStart"/>
            <w:r>
              <w:rPr>
                <w:rFonts w:ascii="Times New Roman CYR" w:hAnsi="Times New Roman CYR" w:cs="Times New Roman CYR"/>
              </w:rPr>
              <w:t>вустановах</w:t>
            </w:r>
            <w:proofErr w:type="spellEnd"/>
            <w:r>
              <w:rPr>
                <w:rFonts w:ascii="Times New Roman CYR" w:hAnsi="Times New Roman CYR" w:cs="Times New Roman CYR"/>
              </w:rPr>
              <w:t xml:space="preserve"> i </w:t>
            </w:r>
            <w:proofErr w:type="spellStart"/>
            <w:r>
              <w:rPr>
                <w:rFonts w:ascii="Times New Roman CYR" w:hAnsi="Times New Roman CYR" w:cs="Times New Roman CYR"/>
              </w:rPr>
              <w:t>органiзацiях</w:t>
            </w:r>
            <w:proofErr w:type="spellEnd"/>
            <w:r>
              <w:rPr>
                <w:rFonts w:ascii="Times New Roman CYR" w:hAnsi="Times New Roman CYR" w:cs="Times New Roman CYR"/>
              </w:rPr>
              <w:t xml:space="preserve">, </w:t>
            </w:r>
            <w:proofErr w:type="spellStart"/>
            <w:r>
              <w:rPr>
                <w:rFonts w:ascii="Times New Roman CYR" w:hAnsi="Times New Roman CYR" w:cs="Times New Roman CYR"/>
              </w:rPr>
              <w:t>щофiнансуються</w:t>
            </w:r>
            <w:proofErr w:type="spellEnd"/>
            <w:r>
              <w:rPr>
                <w:rFonts w:ascii="Times New Roman CYR" w:hAnsi="Times New Roman CYR" w:cs="Times New Roman CYR"/>
              </w:rPr>
              <w:t xml:space="preserve"> з </w:t>
            </w:r>
            <w:proofErr w:type="spellStart"/>
            <w:r>
              <w:rPr>
                <w:rFonts w:ascii="Times New Roman CYR" w:hAnsi="Times New Roman CYR" w:cs="Times New Roman CYR"/>
              </w:rPr>
              <w:t>Державногобюджету</w:t>
            </w:r>
            <w:proofErr w:type="spellEnd"/>
            <w:r>
              <w:rPr>
                <w:rFonts w:ascii="Times New Roman CYR" w:hAnsi="Times New Roman CYR" w:cs="Times New Roman CYR"/>
              </w:rPr>
              <w:t xml:space="preserve"> України) та </w:t>
            </w:r>
            <w:proofErr w:type="spellStart"/>
            <w:r>
              <w:rPr>
                <w:rFonts w:ascii="Times New Roman CYR" w:hAnsi="Times New Roman CYR" w:cs="Times New Roman CYR"/>
              </w:rPr>
              <w:t>сiльськоїпожежної</w:t>
            </w:r>
            <w:proofErr w:type="spellEnd"/>
            <w:r>
              <w:rPr>
                <w:rFonts w:ascii="Times New Roman CYR" w:hAnsi="Times New Roman CYR" w:cs="Times New Roman CYR"/>
              </w:rPr>
              <w:t xml:space="preserve"> охорони i </w:t>
            </w:r>
            <w:proofErr w:type="spellStart"/>
            <w:r>
              <w:rPr>
                <w:rFonts w:ascii="Times New Roman CYR" w:hAnsi="Times New Roman CYR" w:cs="Times New Roman CYR"/>
              </w:rPr>
              <w:t>членiвдобровiльних</w:t>
            </w:r>
            <w:proofErr w:type="spellEnd"/>
            <w:r>
              <w:rPr>
                <w:rFonts w:ascii="Times New Roman CYR" w:hAnsi="Times New Roman CYR" w:cs="Times New Roman CYR"/>
              </w:rPr>
              <w:t xml:space="preserve"> пожежних дружин(команд)</w:t>
            </w:r>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584725</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Особисте 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w:t>
            </w:r>
            <w:proofErr w:type="spellStart"/>
            <w:r>
              <w:rPr>
                <w:rFonts w:ascii="Times New Roman CYR" w:hAnsi="Times New Roman CYR" w:cs="Times New Roman CYR"/>
              </w:rPr>
              <w:t>нещаснихвипадкiв</w:t>
            </w:r>
            <w:proofErr w:type="spellEnd"/>
            <w:r>
              <w:rPr>
                <w:rFonts w:ascii="Times New Roman CYR" w:hAnsi="Times New Roman CYR" w:cs="Times New Roman CYR"/>
              </w:rPr>
              <w:t xml:space="preserve"> на </w:t>
            </w:r>
            <w:proofErr w:type="spellStart"/>
            <w:r>
              <w:rPr>
                <w:rFonts w:ascii="Times New Roman CYR" w:hAnsi="Times New Roman CYR" w:cs="Times New Roman CYR"/>
              </w:rPr>
              <w:t>транспортi</w:t>
            </w:r>
            <w:proofErr w:type="spellEnd"/>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584716</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вiдповiдальностiсуб'єктiв</w:t>
            </w:r>
            <w:proofErr w:type="spellEnd"/>
            <w:r>
              <w:rPr>
                <w:rFonts w:ascii="Times New Roman CYR" w:hAnsi="Times New Roman CYR" w:cs="Times New Roman CYR"/>
              </w:rPr>
              <w:t xml:space="preserve"> перевезення </w:t>
            </w:r>
            <w:proofErr w:type="spellStart"/>
            <w:r>
              <w:rPr>
                <w:rFonts w:ascii="Times New Roman CYR" w:hAnsi="Times New Roman CYR" w:cs="Times New Roman CYR"/>
              </w:rPr>
              <w:t>небезпечнихвантажiв</w:t>
            </w:r>
            <w:proofErr w:type="spellEnd"/>
            <w:r>
              <w:rPr>
                <w:rFonts w:ascii="Times New Roman CYR" w:hAnsi="Times New Roman CYR" w:cs="Times New Roman CYR"/>
              </w:rPr>
              <w:t xml:space="preserve"> на випадок </w:t>
            </w:r>
            <w:proofErr w:type="spellStart"/>
            <w:r>
              <w:rPr>
                <w:rFonts w:ascii="Times New Roman CYR" w:hAnsi="Times New Roman CYR" w:cs="Times New Roman CYR"/>
              </w:rPr>
              <w:t>настаннянегативних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наслiдкiв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приперевезеннi</w:t>
            </w:r>
            <w:proofErr w:type="spellEnd"/>
            <w:r>
              <w:rPr>
                <w:rFonts w:ascii="Times New Roman CYR" w:hAnsi="Times New Roman CYR" w:cs="Times New Roman CYR"/>
              </w:rPr>
              <w:t xml:space="preserve"> небезпечних </w:t>
            </w:r>
            <w:proofErr w:type="spellStart"/>
            <w:r>
              <w:rPr>
                <w:rFonts w:ascii="Times New Roman CYR" w:hAnsi="Times New Roman CYR" w:cs="Times New Roman CYR"/>
              </w:rPr>
              <w:t>вантажiв</w:t>
            </w:r>
            <w:proofErr w:type="spellEnd"/>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584726</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D142D">
        <w:trPr>
          <w:trHeight w:val="200"/>
        </w:trPr>
        <w:tc>
          <w:tcPr>
            <w:tcW w:w="3155"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Авiацiйне</w:t>
            </w:r>
            <w:proofErr w:type="spellEnd"/>
            <w:r>
              <w:rPr>
                <w:rFonts w:ascii="Times New Roman CYR" w:hAnsi="Times New Roman CYR" w:cs="Times New Roman CYR"/>
              </w:rPr>
              <w:t xml:space="preserve"> страхування </w:t>
            </w:r>
            <w:proofErr w:type="spellStart"/>
            <w:r>
              <w:rPr>
                <w:rFonts w:ascii="Times New Roman CYR" w:hAnsi="Times New Roman CYR" w:cs="Times New Roman CYR"/>
              </w:rPr>
              <w:t>цивiльноїавiацiї</w:t>
            </w:r>
            <w:proofErr w:type="spellEnd"/>
          </w:p>
        </w:tc>
        <w:tc>
          <w:tcPr>
            <w:tcW w:w="1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584727</w:t>
            </w:r>
          </w:p>
        </w:tc>
        <w:tc>
          <w:tcPr>
            <w:tcW w:w="1065"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11.12.2008</w:t>
            </w:r>
          </w:p>
        </w:tc>
        <w:tc>
          <w:tcPr>
            <w:tcW w:w="3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3155"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bl>
    <w:p w:rsidR="008D142D" w:rsidRDefault="008D142D">
      <w:pPr>
        <w:widowControl w:val="0"/>
        <w:autoSpaceDE w:val="0"/>
        <w:autoSpaceDN w:val="0"/>
        <w:adjustRightInd w:val="0"/>
        <w:spacing w:after="0" w:line="240" w:lineRule="auto"/>
        <w:rPr>
          <w:rFonts w:ascii="Times New Roman CYR" w:hAnsi="Times New Roman CYR" w:cs="Times New Roman CYR"/>
        </w:rPr>
      </w:pPr>
    </w:p>
    <w:p w:rsidR="00895A49" w:rsidRDefault="00895A49">
      <w:pPr>
        <w:rPr>
          <w:rFonts w:ascii="Times New Roman CYR" w:hAnsi="Times New Roman CYR" w:cs="Times New Roman CYR"/>
        </w:rPr>
      </w:pPr>
      <w:r>
        <w:rPr>
          <w:rFonts w:ascii="Times New Roman CYR" w:hAnsi="Times New Roman CYR" w:cs="Times New Roman CYR"/>
        </w:rPr>
        <w:br w:type="page"/>
      </w:r>
    </w:p>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V. Інформація про посадових осіб емітента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Голова </w:t>
      </w:r>
      <w:proofErr w:type="spellStart"/>
      <w:r>
        <w:rPr>
          <w:rFonts w:ascii="Times New Roman CYR" w:hAnsi="Times New Roman CYR" w:cs="Times New Roman CYR"/>
          <w:sz w:val="24"/>
          <w:szCs w:val="24"/>
        </w:rPr>
        <w:t>правлiння</w:t>
      </w:r>
      <w:proofErr w:type="spellEnd"/>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Гусєва </w:t>
      </w:r>
      <w:proofErr w:type="spellStart"/>
      <w:r>
        <w:rPr>
          <w:rFonts w:ascii="Times New Roman CYR" w:hAnsi="Times New Roman CYR" w:cs="Times New Roman CYR"/>
          <w:sz w:val="24"/>
          <w:szCs w:val="24"/>
        </w:rPr>
        <w:t>Iрина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Олександрiвна</w:t>
      </w:r>
      <w:proofErr w:type="spellEnd"/>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1971</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28</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33832772, заступник голови </w:t>
      </w:r>
      <w:proofErr w:type="spellStart"/>
      <w:r>
        <w:rPr>
          <w:rFonts w:ascii="Times New Roman CYR" w:hAnsi="Times New Roman CYR" w:cs="Times New Roman CYR"/>
          <w:sz w:val="24"/>
          <w:szCs w:val="24"/>
        </w:rPr>
        <w:t>правлiння</w:t>
      </w:r>
      <w:proofErr w:type="spellEnd"/>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у персональному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посадов</w:t>
      </w:r>
      <w:r w:rsidR="00DD584C">
        <w:rPr>
          <w:rFonts w:ascii="Times New Roman CYR" w:hAnsi="Times New Roman CYR" w:cs="Times New Roman CYR"/>
          <w:sz w:val="24"/>
          <w:szCs w:val="24"/>
        </w:rPr>
        <w:t>их</w:t>
      </w: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Член </w:t>
      </w:r>
      <w:proofErr w:type="spellStart"/>
      <w:r>
        <w:rPr>
          <w:rFonts w:ascii="Times New Roman CYR" w:hAnsi="Times New Roman CYR" w:cs="Times New Roman CYR"/>
          <w:sz w:val="24"/>
          <w:szCs w:val="24"/>
        </w:rPr>
        <w:t>правлiнння</w:t>
      </w:r>
      <w:proofErr w:type="spellEnd"/>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Боброва Тетяна </w:t>
      </w:r>
      <w:proofErr w:type="spellStart"/>
      <w:r>
        <w:rPr>
          <w:rFonts w:ascii="Times New Roman CYR" w:hAnsi="Times New Roman CYR" w:cs="Times New Roman CYR"/>
          <w:sz w:val="24"/>
          <w:szCs w:val="24"/>
        </w:rPr>
        <w:t>Федорiвна</w:t>
      </w:r>
      <w:proofErr w:type="spellEnd"/>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1960</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44</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Київська </w:t>
      </w:r>
      <w:proofErr w:type="spellStart"/>
      <w:r>
        <w:rPr>
          <w:rFonts w:ascii="Times New Roman CYR" w:hAnsi="Times New Roman CYR" w:cs="Times New Roman CYR"/>
          <w:sz w:val="24"/>
          <w:szCs w:val="24"/>
        </w:rPr>
        <w:t>фiлiя</w:t>
      </w:r>
      <w:proofErr w:type="spellEnd"/>
      <w:r>
        <w:rPr>
          <w:rFonts w:ascii="Times New Roman CYR" w:hAnsi="Times New Roman CYR" w:cs="Times New Roman CYR"/>
          <w:sz w:val="24"/>
          <w:szCs w:val="24"/>
        </w:rPr>
        <w:t xml:space="preserve"> банку "Грант", 14070197, заступник головного бухгалтера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у персональному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посадов</w:t>
      </w:r>
      <w:r w:rsidR="00DD584C">
        <w:rPr>
          <w:rFonts w:ascii="Times New Roman CYR" w:hAnsi="Times New Roman CYR" w:cs="Times New Roman CYR"/>
          <w:sz w:val="24"/>
          <w:szCs w:val="24"/>
        </w:rPr>
        <w:t xml:space="preserve">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Ревiзор</w:t>
      </w:r>
      <w:proofErr w:type="spellEnd"/>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Гаманков</w:t>
      </w:r>
      <w:proofErr w:type="spellEnd"/>
      <w:r>
        <w:rPr>
          <w:rFonts w:ascii="Times New Roman CYR" w:hAnsi="Times New Roman CYR" w:cs="Times New Roman CYR"/>
          <w:sz w:val="24"/>
          <w:szCs w:val="24"/>
        </w:rPr>
        <w:t xml:space="preserve"> Володимир </w:t>
      </w:r>
      <w:proofErr w:type="spellStart"/>
      <w:r>
        <w:rPr>
          <w:rFonts w:ascii="Times New Roman CYR" w:hAnsi="Times New Roman CYR" w:cs="Times New Roman CYR"/>
          <w:sz w:val="24"/>
          <w:szCs w:val="24"/>
        </w:rPr>
        <w:t>Iванович</w:t>
      </w:r>
      <w:proofErr w:type="spellEnd"/>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1956</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39</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ТОВ "Страхова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"АГРОПОЛIС", 38451237, Генеральний директор </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у персональному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посадов</w:t>
      </w:r>
      <w:r w:rsidR="00DD584C">
        <w:rPr>
          <w:rFonts w:ascii="Times New Roman CYR" w:hAnsi="Times New Roman CYR" w:cs="Times New Roman CYR"/>
          <w:sz w:val="24"/>
          <w:szCs w:val="24"/>
        </w:rPr>
        <w:t>их</w:t>
      </w: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1. Посада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Головний бухгалтер</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Боброва Тетяна </w:t>
      </w:r>
      <w:proofErr w:type="spellStart"/>
      <w:r>
        <w:rPr>
          <w:rFonts w:ascii="Times New Roman CYR" w:hAnsi="Times New Roman CYR" w:cs="Times New Roman CYR"/>
          <w:sz w:val="24"/>
          <w:szCs w:val="24"/>
        </w:rPr>
        <w:t>Федорiвна</w:t>
      </w:r>
      <w:proofErr w:type="spellEnd"/>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1960</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44</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Київська </w:t>
      </w:r>
      <w:proofErr w:type="spellStart"/>
      <w:r>
        <w:rPr>
          <w:rFonts w:ascii="Times New Roman CYR" w:hAnsi="Times New Roman CYR" w:cs="Times New Roman CYR"/>
          <w:sz w:val="24"/>
          <w:szCs w:val="24"/>
        </w:rPr>
        <w:t>фiлiя</w:t>
      </w:r>
      <w:proofErr w:type="spellEnd"/>
      <w:r>
        <w:rPr>
          <w:rFonts w:ascii="Times New Roman CYR" w:hAnsi="Times New Roman CYR" w:cs="Times New Roman CYR"/>
          <w:sz w:val="24"/>
          <w:szCs w:val="24"/>
        </w:rPr>
        <w:t xml:space="preserve"> банку "Грант", 14070197, заступник головного бухгалтера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у персональному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посадов</w:t>
      </w:r>
      <w:r w:rsidR="00DD584C">
        <w:rPr>
          <w:rFonts w:ascii="Times New Roman CYR" w:hAnsi="Times New Roman CYR" w:cs="Times New Roman CYR"/>
          <w:sz w:val="24"/>
          <w:szCs w:val="24"/>
        </w:rPr>
        <w:t>их</w:t>
      </w: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Внутрiшнiй</w:t>
      </w:r>
      <w:proofErr w:type="spellEnd"/>
      <w:r>
        <w:rPr>
          <w:rFonts w:ascii="Times New Roman CYR" w:hAnsi="Times New Roman CYR" w:cs="Times New Roman CYR"/>
          <w:sz w:val="24"/>
          <w:szCs w:val="24"/>
        </w:rPr>
        <w:t xml:space="preserve"> аудитор</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Кружаєв</w:t>
      </w:r>
      <w:proofErr w:type="spellEnd"/>
      <w:r>
        <w:rPr>
          <w:rFonts w:ascii="Times New Roman CYR" w:hAnsi="Times New Roman CYR" w:cs="Times New Roman CYR"/>
          <w:sz w:val="24"/>
          <w:szCs w:val="24"/>
        </w:rPr>
        <w:t xml:space="preserve"> Антон Миколайович</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1968</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34</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ТОВ "</w:t>
      </w:r>
      <w:proofErr w:type="spellStart"/>
      <w:r>
        <w:rPr>
          <w:rFonts w:ascii="Times New Roman CYR" w:hAnsi="Times New Roman CYR" w:cs="Times New Roman CYR"/>
          <w:sz w:val="24"/>
          <w:szCs w:val="24"/>
        </w:rPr>
        <w:t>Iнтерстарч</w:t>
      </w:r>
      <w:proofErr w:type="spellEnd"/>
      <w:r>
        <w:rPr>
          <w:rFonts w:ascii="Times New Roman CYR" w:hAnsi="Times New Roman CYR" w:cs="Times New Roman CYR"/>
          <w:sz w:val="24"/>
          <w:szCs w:val="24"/>
        </w:rPr>
        <w:t xml:space="preserve"> Україна", 38307757, </w:t>
      </w:r>
      <w:proofErr w:type="spellStart"/>
      <w:r>
        <w:rPr>
          <w:rFonts w:ascii="Times New Roman CYR" w:hAnsi="Times New Roman CYR" w:cs="Times New Roman CYR"/>
          <w:sz w:val="24"/>
          <w:szCs w:val="24"/>
        </w:rPr>
        <w:t>керiвник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проектiв</w:t>
      </w:r>
      <w:proofErr w:type="spellEnd"/>
      <w:r>
        <w:rPr>
          <w:rFonts w:ascii="Times New Roman CYR" w:hAnsi="Times New Roman CYR" w:cs="Times New Roman CYR"/>
          <w:sz w:val="24"/>
          <w:szCs w:val="24"/>
        </w:rPr>
        <w:t xml:space="preserve"> </w:t>
      </w:r>
    </w:p>
    <w:p w:rsidR="008D142D" w:rsidRDefault="00F22F7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у персональному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посадов</w:t>
      </w:r>
      <w:r w:rsidR="00DD584C">
        <w:rPr>
          <w:rFonts w:ascii="Times New Roman CYR" w:hAnsi="Times New Roman CYR" w:cs="Times New Roman CYR"/>
          <w:sz w:val="24"/>
          <w:szCs w:val="24"/>
        </w:rPr>
        <w:t xml:space="preserve">их </w:t>
      </w:r>
      <w:proofErr w:type="spellStart"/>
      <w:r w:rsidR="00DD584C">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VI. Інформація про господарську та фінансову діяльність емітента</w:t>
      </w:r>
    </w:p>
    <w:p w:rsidR="008D142D" w:rsidRDefault="008D142D">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i/>
          <w:iCs/>
          <w:sz w:val="24"/>
          <w:szCs w:val="24"/>
        </w:rPr>
        <w:t>1. Інформація про зобов’язання та забезпечення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780"/>
        <w:gridCol w:w="1440"/>
        <w:gridCol w:w="1480"/>
        <w:gridCol w:w="1940"/>
        <w:gridCol w:w="1328"/>
      </w:tblGrid>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Непогашена частина боргу (тис. </w:t>
            </w:r>
            <w:proofErr w:type="spellStart"/>
            <w:r>
              <w:rPr>
                <w:rFonts w:ascii="Times New Roman CYR" w:hAnsi="Times New Roman CYR" w:cs="Times New Roman CYR"/>
                <w:b/>
                <w:bCs/>
              </w:rPr>
              <w:t>грн</w:t>
            </w:r>
            <w:proofErr w:type="spellEnd"/>
            <w:r>
              <w:rPr>
                <w:rFonts w:ascii="Times New Roman CYR" w:hAnsi="Times New Roman CYR" w:cs="Times New Roman CYR"/>
                <w:b/>
                <w:bCs/>
              </w:rPr>
              <w:t>)</w:t>
            </w:r>
          </w:p>
        </w:tc>
        <w:tc>
          <w:tcPr>
            <w:tcW w:w="19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Відсоток від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Дата погашення</w:t>
            </w: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векселями (усього)</w:t>
            </w:r>
          </w:p>
        </w:tc>
        <w:tc>
          <w:tcPr>
            <w:tcW w:w="14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за іншими цінними паперами (у тому числі за похідними цінними паперами)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203</w:t>
            </w:r>
          </w:p>
        </w:tc>
        <w:tc>
          <w:tcPr>
            <w:tcW w:w="19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16907</w:t>
            </w:r>
          </w:p>
        </w:tc>
        <w:tc>
          <w:tcPr>
            <w:tcW w:w="19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8D142D">
        <w:trPr>
          <w:trHeight w:val="300"/>
        </w:trPr>
        <w:tc>
          <w:tcPr>
            <w:tcW w:w="378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17110</w:t>
            </w:r>
          </w:p>
        </w:tc>
        <w:tc>
          <w:tcPr>
            <w:tcW w:w="19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8D142D">
        <w:trPr>
          <w:trHeight w:val="300"/>
        </w:trPr>
        <w:tc>
          <w:tcPr>
            <w:tcW w:w="3780"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188" w:type="dxa"/>
            <w:gridSpan w:val="4"/>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Товариство не має зобов'язань за кредитами банку, </w:t>
            </w:r>
            <w:proofErr w:type="spellStart"/>
            <w:r>
              <w:rPr>
                <w:rFonts w:ascii="Times New Roman CYR" w:hAnsi="Times New Roman CYR" w:cs="Times New Roman CYR"/>
              </w:rPr>
              <w:t>цiнними</w:t>
            </w:r>
            <w:proofErr w:type="spellEnd"/>
            <w:r>
              <w:rPr>
                <w:rFonts w:ascii="Times New Roman CYR" w:hAnsi="Times New Roman CYR" w:cs="Times New Roman CYR"/>
              </w:rPr>
              <w:t xml:space="preserve"> паперами, </w:t>
            </w:r>
            <w:proofErr w:type="spellStart"/>
            <w:r>
              <w:rPr>
                <w:rFonts w:ascii="Times New Roman CYR" w:hAnsi="Times New Roman CYR" w:cs="Times New Roman CYR"/>
              </w:rPr>
              <w:t>фiнансовими</w:t>
            </w:r>
            <w:proofErr w:type="spellEnd"/>
            <w:r>
              <w:rPr>
                <w:rFonts w:ascii="Times New Roman CYR" w:hAnsi="Times New Roman CYR" w:cs="Times New Roman CYR"/>
              </w:rPr>
              <w:t xml:space="preserve"> </w:t>
            </w:r>
            <w:proofErr w:type="spellStart"/>
            <w:r>
              <w:rPr>
                <w:rFonts w:ascii="Times New Roman CYR" w:hAnsi="Times New Roman CYR" w:cs="Times New Roman CYR"/>
              </w:rPr>
              <w:t>iнвестицiями</w:t>
            </w:r>
            <w:proofErr w:type="spellEnd"/>
            <w:r>
              <w:rPr>
                <w:rFonts w:ascii="Times New Roman CYR" w:hAnsi="Times New Roman CYR" w:cs="Times New Roman CYR"/>
              </w:rPr>
              <w:t xml:space="preserve"> в </w:t>
            </w:r>
            <w:proofErr w:type="spellStart"/>
            <w:r>
              <w:rPr>
                <w:rFonts w:ascii="Times New Roman CYR" w:hAnsi="Times New Roman CYR" w:cs="Times New Roman CYR"/>
              </w:rPr>
              <w:t>корпоративнi</w:t>
            </w:r>
            <w:proofErr w:type="spellEnd"/>
            <w:r>
              <w:rPr>
                <w:rFonts w:ascii="Times New Roman CYR" w:hAnsi="Times New Roman CYR" w:cs="Times New Roman CYR"/>
              </w:rPr>
              <w:t xml:space="preserve"> права, за </w:t>
            </w:r>
            <w:proofErr w:type="spellStart"/>
            <w:r>
              <w:rPr>
                <w:rFonts w:ascii="Times New Roman CYR" w:hAnsi="Times New Roman CYR" w:cs="Times New Roman CYR"/>
              </w:rPr>
              <w:t>фiнансовою</w:t>
            </w:r>
            <w:proofErr w:type="spellEnd"/>
            <w:r>
              <w:rPr>
                <w:rFonts w:ascii="Times New Roman CYR" w:hAnsi="Times New Roman CYR" w:cs="Times New Roman CYR"/>
              </w:rPr>
              <w:t xml:space="preserve"> допомогою на </w:t>
            </w:r>
            <w:proofErr w:type="spellStart"/>
            <w:r>
              <w:rPr>
                <w:rFonts w:ascii="Times New Roman CYR" w:hAnsi="Times New Roman CYR" w:cs="Times New Roman CYR"/>
              </w:rPr>
              <w:t>зворотнiй</w:t>
            </w:r>
            <w:proofErr w:type="spellEnd"/>
            <w:r>
              <w:rPr>
                <w:rFonts w:ascii="Times New Roman CYR" w:hAnsi="Times New Roman CYR" w:cs="Times New Roman CYR"/>
              </w:rPr>
              <w:t xml:space="preserve"> </w:t>
            </w:r>
            <w:proofErr w:type="spellStart"/>
            <w:r>
              <w:rPr>
                <w:rFonts w:ascii="Times New Roman CYR" w:hAnsi="Times New Roman CYR" w:cs="Times New Roman CYR"/>
              </w:rPr>
              <w:t>основi</w:t>
            </w:r>
            <w:proofErr w:type="spellEnd"/>
            <w:r>
              <w:rPr>
                <w:rFonts w:ascii="Times New Roman CYR" w:hAnsi="Times New Roman CYR" w:cs="Times New Roman CYR"/>
              </w:rPr>
              <w:t>.</w:t>
            </w:r>
          </w:p>
        </w:tc>
      </w:tr>
    </w:tbl>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8D142D">
      <w:pPr>
        <w:widowControl w:val="0"/>
        <w:autoSpaceDE w:val="0"/>
        <w:autoSpaceDN w:val="0"/>
        <w:adjustRightInd w:val="0"/>
        <w:spacing w:after="0" w:line="240" w:lineRule="auto"/>
        <w:rPr>
          <w:rFonts w:ascii="Times New Roman CYR" w:hAnsi="Times New Roman CYR" w:cs="Times New Roman CYR"/>
        </w:rPr>
        <w:sectPr w:rsidR="008D142D">
          <w:pgSz w:w="12240" w:h="15840"/>
          <w:pgMar w:top="850" w:right="850" w:bottom="850" w:left="1400" w:header="708" w:footer="708" w:gutter="0"/>
          <w:cols w:space="720"/>
          <w:noEndnote/>
        </w:sect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VII. Відомості про цінні папери емітента</w:t>
      </w:r>
    </w:p>
    <w:p w:rsidR="008D142D" w:rsidRDefault="008D142D">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8D142D" w:rsidRDefault="00F22F7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1. Інформація про випуски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1220"/>
        <w:gridCol w:w="1330"/>
        <w:gridCol w:w="2450"/>
        <w:gridCol w:w="1640"/>
        <w:gridCol w:w="1410"/>
        <w:gridCol w:w="1600"/>
        <w:gridCol w:w="1450"/>
        <w:gridCol w:w="1200"/>
        <w:gridCol w:w="1400"/>
        <w:gridCol w:w="1400"/>
      </w:tblGrid>
      <w:tr w:rsidR="008D142D">
        <w:trPr>
          <w:trHeight w:val="300"/>
        </w:trPr>
        <w:tc>
          <w:tcPr>
            <w:tcW w:w="122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реєстрації випуску</w:t>
            </w:r>
          </w:p>
        </w:tc>
        <w:tc>
          <w:tcPr>
            <w:tcW w:w="133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свідоцтва про реєстрацію випуску</w:t>
            </w:r>
          </w:p>
        </w:tc>
        <w:tc>
          <w:tcPr>
            <w:tcW w:w="245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органу, що зареєстрував випуск</w:t>
            </w:r>
          </w:p>
        </w:tc>
        <w:tc>
          <w:tcPr>
            <w:tcW w:w="16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Міжнародний ідентифікаційний номер </w:t>
            </w:r>
          </w:p>
        </w:tc>
        <w:tc>
          <w:tcPr>
            <w:tcW w:w="141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Тип цінного папера</w:t>
            </w:r>
          </w:p>
        </w:tc>
        <w:tc>
          <w:tcPr>
            <w:tcW w:w="16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Номінальна вартість (</w:t>
            </w:r>
            <w:proofErr w:type="spellStart"/>
            <w:r>
              <w:rPr>
                <w:rFonts w:ascii="Times New Roman CYR" w:hAnsi="Times New Roman CYR" w:cs="Times New Roman CYR"/>
                <w:b/>
                <w:bCs/>
              </w:rPr>
              <w:t>грн</w:t>
            </w:r>
            <w:proofErr w:type="spellEnd"/>
            <w:r>
              <w:rPr>
                <w:rFonts w:ascii="Times New Roman CYR" w:hAnsi="Times New Roman CYR" w:cs="Times New Roman CYR"/>
                <w:b/>
                <w:bCs/>
              </w:rPr>
              <w:t>)</w:t>
            </w:r>
          </w:p>
        </w:tc>
        <w:tc>
          <w:tcPr>
            <w:tcW w:w="12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Загальна номінальна вартість (</w:t>
            </w:r>
            <w:proofErr w:type="spellStart"/>
            <w:r>
              <w:rPr>
                <w:rFonts w:ascii="Times New Roman CYR" w:hAnsi="Times New Roman CYR" w:cs="Times New Roman CYR"/>
                <w:b/>
                <w:bCs/>
              </w:rPr>
              <w:t>грн</w:t>
            </w:r>
            <w:proofErr w:type="spellEnd"/>
            <w:r>
              <w:rPr>
                <w:rFonts w:ascii="Times New Roman CYR" w:hAnsi="Times New Roman CYR" w:cs="Times New Roman CYR"/>
                <w:b/>
                <w:bCs/>
              </w:rPr>
              <w:t>)</w:t>
            </w:r>
          </w:p>
        </w:tc>
        <w:tc>
          <w:tcPr>
            <w:tcW w:w="1400"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Частка у статутному капіталі (у відсотках)</w:t>
            </w:r>
          </w:p>
        </w:tc>
      </w:tr>
      <w:tr w:rsidR="008D142D">
        <w:trPr>
          <w:trHeight w:val="300"/>
        </w:trPr>
        <w:tc>
          <w:tcPr>
            <w:tcW w:w="122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3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45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41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6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400"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8D142D">
        <w:trPr>
          <w:trHeight w:val="300"/>
        </w:trPr>
        <w:tc>
          <w:tcPr>
            <w:tcW w:w="1220"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06.09.2010</w:t>
            </w:r>
          </w:p>
        </w:tc>
        <w:tc>
          <w:tcPr>
            <w:tcW w:w="133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734/1/10</w:t>
            </w:r>
          </w:p>
        </w:tc>
        <w:tc>
          <w:tcPr>
            <w:tcW w:w="24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та фондового ринку</w:t>
            </w:r>
          </w:p>
        </w:tc>
        <w:tc>
          <w:tcPr>
            <w:tcW w:w="164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UA4000086326</w:t>
            </w:r>
          </w:p>
        </w:tc>
        <w:tc>
          <w:tcPr>
            <w:tcW w:w="141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Акція проста </w:t>
            </w:r>
            <w:proofErr w:type="spellStart"/>
            <w:r>
              <w:rPr>
                <w:rFonts w:ascii="Times New Roman CYR" w:hAnsi="Times New Roman CYR" w:cs="Times New Roman CYR"/>
              </w:rPr>
              <w:t>бездокументарна</w:t>
            </w:r>
            <w:proofErr w:type="spellEnd"/>
            <w:r>
              <w:rPr>
                <w:rFonts w:ascii="Times New Roman CYR" w:hAnsi="Times New Roman CYR" w:cs="Times New Roman CYR"/>
              </w:rPr>
              <w:t xml:space="preserve"> іменна</w:t>
            </w:r>
          </w:p>
        </w:tc>
        <w:tc>
          <w:tcPr>
            <w:tcW w:w="16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10000</w:t>
            </w:r>
          </w:p>
        </w:tc>
        <w:tc>
          <w:tcPr>
            <w:tcW w:w="14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12000000</w:t>
            </w:r>
          </w:p>
        </w:tc>
        <w:tc>
          <w:tcPr>
            <w:tcW w:w="140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8D142D">
        <w:trPr>
          <w:trHeight w:val="300"/>
        </w:trPr>
        <w:tc>
          <w:tcPr>
            <w:tcW w:w="122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13880" w:type="dxa"/>
            <w:gridSpan w:val="9"/>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Акцiї</w:t>
            </w:r>
            <w:proofErr w:type="spellEnd"/>
            <w:r>
              <w:rPr>
                <w:rFonts w:ascii="Times New Roman CYR" w:hAnsi="Times New Roman CYR" w:cs="Times New Roman CYR"/>
              </w:rPr>
              <w:t xml:space="preserve"> на </w:t>
            </w:r>
            <w:proofErr w:type="spellStart"/>
            <w:r>
              <w:rPr>
                <w:rFonts w:ascii="Times New Roman CYR" w:hAnsi="Times New Roman CYR" w:cs="Times New Roman CYR"/>
              </w:rPr>
              <w:t>внутрiшнiх</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зовнiшнiх</w:t>
            </w:r>
            <w:proofErr w:type="spellEnd"/>
            <w:r>
              <w:rPr>
                <w:rFonts w:ascii="Times New Roman CYR" w:hAnsi="Times New Roman CYR" w:cs="Times New Roman CYR"/>
              </w:rPr>
              <w:t xml:space="preserve"> ринках не були в </w:t>
            </w:r>
            <w:proofErr w:type="spellStart"/>
            <w:r>
              <w:rPr>
                <w:rFonts w:ascii="Times New Roman CYR" w:hAnsi="Times New Roman CYR" w:cs="Times New Roman CYR"/>
              </w:rPr>
              <w:t>обiгу</w:t>
            </w:r>
            <w:proofErr w:type="spellEnd"/>
            <w:r>
              <w:rPr>
                <w:rFonts w:ascii="Times New Roman CYR" w:hAnsi="Times New Roman CYR" w:cs="Times New Roman CYR"/>
              </w:rPr>
              <w:t xml:space="preserve">. </w:t>
            </w:r>
            <w:proofErr w:type="spellStart"/>
            <w:r>
              <w:rPr>
                <w:rFonts w:ascii="Times New Roman CYR" w:hAnsi="Times New Roman CYR" w:cs="Times New Roman CYR"/>
              </w:rPr>
              <w:t>Фактiв</w:t>
            </w:r>
            <w:proofErr w:type="spellEnd"/>
            <w:r>
              <w:rPr>
                <w:rFonts w:ascii="Times New Roman CYR" w:hAnsi="Times New Roman CYR" w:cs="Times New Roman CYR"/>
              </w:rPr>
              <w:t xml:space="preserve"> включення/виключення </w:t>
            </w:r>
            <w:proofErr w:type="spellStart"/>
            <w:r>
              <w:rPr>
                <w:rFonts w:ascii="Times New Roman CYR" w:hAnsi="Times New Roman CYR" w:cs="Times New Roman CYR"/>
              </w:rPr>
              <w:t>акцiй</w:t>
            </w:r>
            <w:proofErr w:type="spellEnd"/>
            <w:r>
              <w:rPr>
                <w:rFonts w:ascii="Times New Roman CYR" w:hAnsi="Times New Roman CYR" w:cs="Times New Roman CYR"/>
              </w:rPr>
              <w:t xml:space="preserve"> до/з </w:t>
            </w:r>
            <w:proofErr w:type="spellStart"/>
            <w:r>
              <w:rPr>
                <w:rFonts w:ascii="Times New Roman CYR" w:hAnsi="Times New Roman CYR" w:cs="Times New Roman CYR"/>
              </w:rPr>
              <w:t>бiржового</w:t>
            </w:r>
            <w:proofErr w:type="spellEnd"/>
            <w:r>
              <w:rPr>
                <w:rFonts w:ascii="Times New Roman CYR" w:hAnsi="Times New Roman CYR" w:cs="Times New Roman CYR"/>
              </w:rPr>
              <w:t xml:space="preserve"> реєстру </w:t>
            </w:r>
            <w:proofErr w:type="spellStart"/>
            <w:r>
              <w:rPr>
                <w:rFonts w:ascii="Times New Roman CYR" w:hAnsi="Times New Roman CYR" w:cs="Times New Roman CYR"/>
              </w:rPr>
              <w:t>бiржової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бiржi</w:t>
            </w:r>
            <w:proofErr w:type="spellEnd"/>
            <w:r>
              <w:rPr>
                <w:rFonts w:ascii="Times New Roman CYR" w:hAnsi="Times New Roman CYR" w:cs="Times New Roman CYR"/>
              </w:rPr>
              <w:t xml:space="preserve"> не було.  </w:t>
            </w:r>
            <w:proofErr w:type="spellStart"/>
            <w:r>
              <w:rPr>
                <w:rFonts w:ascii="Times New Roman CYR" w:hAnsi="Times New Roman CYR" w:cs="Times New Roman CYR"/>
              </w:rPr>
              <w:t>Рiшення</w:t>
            </w:r>
            <w:proofErr w:type="spellEnd"/>
            <w:r>
              <w:rPr>
                <w:rFonts w:ascii="Times New Roman CYR" w:hAnsi="Times New Roman CYR" w:cs="Times New Roman CYR"/>
              </w:rPr>
              <w:t xml:space="preserve"> про </w:t>
            </w:r>
            <w:proofErr w:type="spellStart"/>
            <w:r>
              <w:rPr>
                <w:rFonts w:ascii="Times New Roman CYR" w:hAnsi="Times New Roman CYR" w:cs="Times New Roman CYR"/>
              </w:rPr>
              <w:t>емiсiю</w:t>
            </w:r>
            <w:proofErr w:type="spellEnd"/>
            <w:r>
              <w:rPr>
                <w:rFonts w:ascii="Times New Roman CYR" w:hAnsi="Times New Roman CYR" w:cs="Times New Roman CYR"/>
              </w:rPr>
              <w:t xml:space="preserve"> </w:t>
            </w:r>
            <w:proofErr w:type="spellStart"/>
            <w:r>
              <w:rPr>
                <w:rFonts w:ascii="Times New Roman CYR" w:hAnsi="Times New Roman CYR" w:cs="Times New Roman CYR"/>
              </w:rPr>
              <w:t>акцiй</w:t>
            </w:r>
            <w:proofErr w:type="spellEnd"/>
            <w:r>
              <w:rPr>
                <w:rFonts w:ascii="Times New Roman CYR" w:hAnsi="Times New Roman CYR" w:cs="Times New Roman CYR"/>
              </w:rPr>
              <w:t xml:space="preserve"> не приймалося.</w:t>
            </w:r>
          </w:p>
        </w:tc>
      </w:tr>
    </w:tbl>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8D142D">
      <w:pPr>
        <w:widowControl w:val="0"/>
        <w:autoSpaceDE w:val="0"/>
        <w:autoSpaceDN w:val="0"/>
        <w:adjustRightInd w:val="0"/>
        <w:spacing w:after="0" w:line="240" w:lineRule="auto"/>
        <w:rPr>
          <w:rFonts w:ascii="Times New Roman CYR" w:hAnsi="Times New Roman CYR" w:cs="Times New Roman CYR"/>
        </w:rPr>
        <w:sectPr w:rsidR="008D142D">
          <w:pgSz w:w="16838" w:h="11906" w:orient="landscape"/>
          <w:pgMar w:top="850" w:right="850" w:bottom="850" w:left="1400" w:header="708" w:footer="708" w:gutter="0"/>
          <w:cols w:space="720"/>
          <w:noEndnote/>
        </w:sect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8D142D" w:rsidRDefault="008D142D">
      <w:pPr>
        <w:widowControl w:val="0"/>
        <w:autoSpaceDE w:val="0"/>
        <w:autoSpaceDN w:val="0"/>
        <w:adjustRightInd w:val="0"/>
        <w:spacing w:after="0" w:line="240" w:lineRule="auto"/>
        <w:rPr>
          <w:rFonts w:ascii="Times New Roman CYR" w:hAnsi="Times New Roman CYR" w:cs="Times New Roman CYR"/>
          <w:b/>
          <w:bCs/>
          <w:sz w:val="28"/>
          <w:szCs w:val="28"/>
        </w:r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p w:rsidR="008D142D" w:rsidRDefault="008D142D">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1462"/>
        <w:gridCol w:w="2000"/>
        <w:gridCol w:w="2000"/>
        <w:gridCol w:w="2000"/>
        <w:gridCol w:w="2000"/>
        <w:gridCol w:w="3500"/>
        <w:gridCol w:w="2121"/>
      </w:tblGrid>
      <w:tr w:rsidR="008D142D">
        <w:trPr>
          <w:trHeight w:val="300"/>
        </w:trPr>
        <w:tc>
          <w:tcPr>
            <w:tcW w:w="1462"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органу, що зареєстрував випуск</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Вид цінних паперів</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органу, що наклав обмеження</w:t>
            </w:r>
          </w:p>
        </w:tc>
        <w:tc>
          <w:tcPr>
            <w:tcW w:w="35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Характеристика обмеження</w:t>
            </w:r>
          </w:p>
        </w:tc>
        <w:tc>
          <w:tcPr>
            <w:tcW w:w="2121"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Строк обмеження</w:t>
            </w:r>
          </w:p>
        </w:tc>
      </w:tr>
      <w:tr w:rsidR="008D142D">
        <w:trPr>
          <w:trHeight w:val="300"/>
        </w:trPr>
        <w:tc>
          <w:tcPr>
            <w:tcW w:w="1462"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5</w:t>
            </w:r>
          </w:p>
        </w:tc>
        <w:tc>
          <w:tcPr>
            <w:tcW w:w="35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6</w:t>
            </w:r>
          </w:p>
        </w:tc>
        <w:tc>
          <w:tcPr>
            <w:tcW w:w="2121"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7</w:t>
            </w:r>
          </w:p>
        </w:tc>
      </w:tr>
      <w:tr w:rsidR="008D142D">
        <w:trPr>
          <w:trHeight w:val="300"/>
        </w:trPr>
        <w:tc>
          <w:tcPr>
            <w:tcW w:w="1462"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06.09.2010</w:t>
            </w:r>
          </w:p>
        </w:tc>
        <w:tc>
          <w:tcPr>
            <w:tcW w:w="2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Нацiональна</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комiсiя</w:t>
            </w:r>
            <w:proofErr w:type="spellEnd"/>
            <w:r>
              <w:rPr>
                <w:rFonts w:ascii="Times New Roman CYR" w:hAnsi="Times New Roman CYR" w:cs="Times New Roman CYR"/>
                <w:sz w:val="20"/>
                <w:szCs w:val="20"/>
              </w:rPr>
              <w:t xml:space="preserve"> з </w:t>
            </w:r>
            <w:proofErr w:type="spellStart"/>
            <w:r>
              <w:rPr>
                <w:rFonts w:ascii="Times New Roman CYR" w:hAnsi="Times New Roman CYR" w:cs="Times New Roman CYR"/>
                <w:sz w:val="20"/>
                <w:szCs w:val="20"/>
              </w:rPr>
              <w:t>цiнних</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паперiв</w:t>
            </w:r>
            <w:proofErr w:type="spellEnd"/>
            <w:r>
              <w:rPr>
                <w:rFonts w:ascii="Times New Roman CYR" w:hAnsi="Times New Roman CYR" w:cs="Times New Roman CYR"/>
                <w:sz w:val="20"/>
                <w:szCs w:val="20"/>
              </w:rPr>
              <w:t xml:space="preserve"> та фондового ринку</w:t>
            </w:r>
          </w:p>
        </w:tc>
        <w:tc>
          <w:tcPr>
            <w:tcW w:w="2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Акція проста </w:t>
            </w:r>
            <w:proofErr w:type="spellStart"/>
            <w:r>
              <w:rPr>
                <w:rFonts w:ascii="Times New Roman CYR" w:hAnsi="Times New Roman CYR" w:cs="Times New Roman CYR"/>
                <w:sz w:val="20"/>
                <w:szCs w:val="20"/>
              </w:rPr>
              <w:t>бездокументарна</w:t>
            </w:r>
            <w:proofErr w:type="spellEnd"/>
            <w:r>
              <w:rPr>
                <w:rFonts w:ascii="Times New Roman CYR" w:hAnsi="Times New Roman CYR" w:cs="Times New Roman CYR"/>
                <w:sz w:val="20"/>
                <w:szCs w:val="20"/>
              </w:rPr>
              <w:t xml:space="preserve"> іменна</w:t>
            </w:r>
          </w:p>
        </w:tc>
        <w:tc>
          <w:tcPr>
            <w:tcW w:w="2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UA4000086326</w:t>
            </w:r>
          </w:p>
        </w:tc>
        <w:tc>
          <w:tcPr>
            <w:tcW w:w="2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загальнi</w:t>
            </w:r>
            <w:proofErr w:type="spellEnd"/>
            <w:r>
              <w:rPr>
                <w:rFonts w:ascii="Times New Roman CYR" w:hAnsi="Times New Roman CYR" w:cs="Times New Roman CYR"/>
                <w:sz w:val="20"/>
                <w:szCs w:val="20"/>
              </w:rPr>
              <w:t xml:space="preserve"> збори </w:t>
            </w:r>
            <w:proofErr w:type="spellStart"/>
            <w:r>
              <w:rPr>
                <w:rFonts w:ascii="Times New Roman CYR" w:hAnsi="Times New Roman CYR" w:cs="Times New Roman CYR"/>
                <w:sz w:val="20"/>
                <w:szCs w:val="20"/>
              </w:rPr>
              <w:t>акцiонерiв</w:t>
            </w:r>
            <w:proofErr w:type="spellEnd"/>
          </w:p>
        </w:tc>
        <w:tc>
          <w:tcPr>
            <w:tcW w:w="35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Статутом Товариства передбачено переважне право щодо </w:t>
            </w:r>
            <w:proofErr w:type="spellStart"/>
            <w:r>
              <w:rPr>
                <w:rFonts w:ascii="Times New Roman CYR" w:hAnsi="Times New Roman CYR" w:cs="Times New Roman CYR"/>
                <w:sz w:val="20"/>
                <w:szCs w:val="20"/>
              </w:rPr>
              <w:t>вiдчуження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акцiй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третiй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особi</w:t>
            </w:r>
            <w:proofErr w:type="spellEnd"/>
            <w:r>
              <w:rPr>
                <w:rFonts w:ascii="Times New Roman CYR" w:hAnsi="Times New Roman CYR" w:cs="Times New Roman CYR"/>
                <w:sz w:val="20"/>
                <w:szCs w:val="20"/>
              </w:rPr>
              <w:t>.</w:t>
            </w:r>
          </w:p>
        </w:tc>
        <w:tc>
          <w:tcPr>
            <w:tcW w:w="2121"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до внесення </w:t>
            </w:r>
            <w:proofErr w:type="spellStart"/>
            <w:r>
              <w:rPr>
                <w:rFonts w:ascii="Times New Roman CYR" w:hAnsi="Times New Roman CYR" w:cs="Times New Roman CYR"/>
                <w:sz w:val="20"/>
                <w:szCs w:val="20"/>
              </w:rPr>
              <w:t>вiдповiдних</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змiн</w:t>
            </w:r>
            <w:proofErr w:type="spellEnd"/>
            <w:r>
              <w:rPr>
                <w:rFonts w:ascii="Times New Roman CYR" w:hAnsi="Times New Roman CYR" w:cs="Times New Roman CYR"/>
                <w:sz w:val="20"/>
                <w:szCs w:val="20"/>
              </w:rPr>
              <w:t xml:space="preserve"> до статуту</w:t>
            </w:r>
          </w:p>
        </w:tc>
      </w:tr>
    </w:tbl>
    <w:p w:rsidR="008D142D" w:rsidRDefault="008D142D">
      <w:pPr>
        <w:widowControl w:val="0"/>
        <w:autoSpaceDE w:val="0"/>
        <w:autoSpaceDN w:val="0"/>
        <w:adjustRightInd w:val="0"/>
        <w:spacing w:after="0" w:line="240" w:lineRule="auto"/>
        <w:rPr>
          <w:rFonts w:ascii="Times New Roman CYR" w:hAnsi="Times New Roman CYR" w:cs="Times New Roman CYR"/>
          <w:sz w:val="20"/>
          <w:szCs w:val="20"/>
        </w:r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8D142D" w:rsidRDefault="008D142D">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762"/>
        <w:gridCol w:w="2000"/>
        <w:gridCol w:w="2000"/>
        <w:gridCol w:w="2000"/>
        <w:gridCol w:w="2000"/>
        <w:gridCol w:w="2000"/>
        <w:gridCol w:w="2000"/>
        <w:gridCol w:w="2321"/>
      </w:tblGrid>
      <w:tr w:rsidR="008D142D">
        <w:trPr>
          <w:trHeight w:val="300"/>
        </w:trPr>
        <w:tc>
          <w:tcPr>
            <w:tcW w:w="762"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акцій у випуску (шт.)</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номінальна вартість (</w:t>
            </w:r>
            <w:proofErr w:type="spellStart"/>
            <w:r>
              <w:rPr>
                <w:rFonts w:ascii="Times New Roman CYR" w:hAnsi="Times New Roman CYR" w:cs="Times New Roman CYR"/>
                <w:b/>
                <w:bCs/>
                <w:sz w:val="20"/>
                <w:szCs w:val="20"/>
              </w:rPr>
              <w:t>грн</w:t>
            </w:r>
            <w:proofErr w:type="spellEnd"/>
            <w:r>
              <w:rPr>
                <w:rFonts w:ascii="Times New Roman CYR" w:hAnsi="Times New Roman CYR" w:cs="Times New Roman CYR"/>
                <w:b/>
                <w:bCs/>
                <w:sz w:val="20"/>
                <w:szCs w:val="20"/>
              </w:rPr>
              <w:t>)</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кількість голосуючих акцій (шт.)</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голосуючих акцій, права голосу за якими обмежено (шт.)</w:t>
            </w:r>
          </w:p>
        </w:tc>
        <w:tc>
          <w:tcPr>
            <w:tcW w:w="2321"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Кількість голосуючих акцій, права голосу за якими за результатами обмеження таких прав передано іншій особі (шт.) </w:t>
            </w:r>
          </w:p>
        </w:tc>
      </w:tr>
      <w:tr w:rsidR="008D142D">
        <w:trPr>
          <w:trHeight w:val="300"/>
        </w:trPr>
        <w:tc>
          <w:tcPr>
            <w:tcW w:w="762"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2321"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r>
      <w:tr w:rsidR="008D142D">
        <w:trPr>
          <w:trHeight w:val="300"/>
        </w:trPr>
        <w:tc>
          <w:tcPr>
            <w:tcW w:w="762" w:type="dxa"/>
            <w:tcBorders>
              <w:top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06.09.2010</w:t>
            </w:r>
          </w:p>
        </w:tc>
        <w:tc>
          <w:tcPr>
            <w:tcW w:w="2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734/1/10</w:t>
            </w:r>
          </w:p>
        </w:tc>
        <w:tc>
          <w:tcPr>
            <w:tcW w:w="2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UA4000086326</w:t>
            </w:r>
          </w:p>
        </w:tc>
        <w:tc>
          <w:tcPr>
            <w:tcW w:w="2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10 000</w:t>
            </w:r>
          </w:p>
        </w:tc>
        <w:tc>
          <w:tcPr>
            <w:tcW w:w="2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12 000 000</w:t>
            </w:r>
          </w:p>
        </w:tc>
        <w:tc>
          <w:tcPr>
            <w:tcW w:w="2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10 000</w:t>
            </w:r>
          </w:p>
        </w:tc>
        <w:tc>
          <w:tcPr>
            <w:tcW w:w="20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2321"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8D142D">
        <w:trPr>
          <w:trHeight w:val="300"/>
        </w:trPr>
        <w:tc>
          <w:tcPr>
            <w:tcW w:w="15083" w:type="dxa"/>
            <w:gridSpan w:val="8"/>
            <w:tcBorders>
              <w:top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Опис:</w:t>
            </w:r>
          </w:p>
        </w:tc>
      </w:tr>
      <w:tr w:rsidR="008D142D">
        <w:trPr>
          <w:trHeight w:val="300"/>
        </w:trPr>
        <w:tc>
          <w:tcPr>
            <w:tcW w:w="15083" w:type="dxa"/>
            <w:gridSpan w:val="8"/>
            <w:tcBorders>
              <w:top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Голосуючих </w:t>
            </w:r>
            <w:proofErr w:type="spellStart"/>
            <w:r>
              <w:rPr>
                <w:rFonts w:ascii="Times New Roman CYR" w:hAnsi="Times New Roman CYR" w:cs="Times New Roman CYR"/>
                <w:sz w:val="20"/>
                <w:szCs w:val="20"/>
              </w:rPr>
              <w:t>акцiй</w:t>
            </w:r>
            <w:proofErr w:type="spellEnd"/>
            <w:r>
              <w:rPr>
                <w:rFonts w:ascii="Times New Roman CYR" w:hAnsi="Times New Roman CYR" w:cs="Times New Roman CYR"/>
                <w:sz w:val="20"/>
                <w:szCs w:val="20"/>
              </w:rPr>
              <w:t>, права голосу за якими обмежено - немає.</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Голосуючих </w:t>
            </w:r>
            <w:proofErr w:type="spellStart"/>
            <w:r>
              <w:rPr>
                <w:rFonts w:ascii="Times New Roman CYR" w:hAnsi="Times New Roman CYR" w:cs="Times New Roman CYR"/>
                <w:sz w:val="20"/>
                <w:szCs w:val="20"/>
              </w:rPr>
              <w:t>акцiй</w:t>
            </w:r>
            <w:proofErr w:type="spellEnd"/>
            <w:r>
              <w:rPr>
                <w:rFonts w:ascii="Times New Roman CYR" w:hAnsi="Times New Roman CYR" w:cs="Times New Roman CYR"/>
                <w:sz w:val="20"/>
                <w:szCs w:val="20"/>
              </w:rPr>
              <w:t xml:space="preserve">, права голосу за якими за результатами обмеження таких прав передано </w:t>
            </w:r>
            <w:proofErr w:type="spellStart"/>
            <w:r>
              <w:rPr>
                <w:rFonts w:ascii="Times New Roman CYR" w:hAnsi="Times New Roman CYR" w:cs="Times New Roman CYR"/>
                <w:sz w:val="20"/>
                <w:szCs w:val="20"/>
              </w:rPr>
              <w:t>iншiй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особi-</w:t>
            </w:r>
            <w:proofErr w:type="spellEnd"/>
            <w:r>
              <w:rPr>
                <w:rFonts w:ascii="Times New Roman CYR" w:hAnsi="Times New Roman CYR" w:cs="Times New Roman CYR"/>
                <w:sz w:val="20"/>
                <w:szCs w:val="20"/>
              </w:rPr>
              <w:t xml:space="preserve"> немає.</w:t>
            </w:r>
          </w:p>
          <w:p w:rsidR="008D142D" w:rsidRDefault="008D142D">
            <w:pPr>
              <w:widowControl w:val="0"/>
              <w:autoSpaceDE w:val="0"/>
              <w:autoSpaceDN w:val="0"/>
              <w:adjustRightInd w:val="0"/>
              <w:spacing w:after="0" w:line="240" w:lineRule="auto"/>
              <w:jc w:val="both"/>
              <w:rPr>
                <w:rFonts w:ascii="Times New Roman CYR" w:hAnsi="Times New Roman CYR" w:cs="Times New Roman CYR"/>
                <w:sz w:val="20"/>
                <w:szCs w:val="20"/>
              </w:rPr>
            </w:pPr>
          </w:p>
        </w:tc>
      </w:tr>
    </w:tbl>
    <w:p w:rsidR="008D142D" w:rsidRDefault="008D142D">
      <w:pPr>
        <w:widowControl w:val="0"/>
        <w:autoSpaceDE w:val="0"/>
        <w:autoSpaceDN w:val="0"/>
        <w:adjustRightInd w:val="0"/>
        <w:spacing w:after="0" w:line="240" w:lineRule="auto"/>
        <w:rPr>
          <w:rFonts w:ascii="Times New Roman CYR" w:hAnsi="Times New Roman CYR" w:cs="Times New Roman CYR"/>
          <w:sz w:val="20"/>
          <w:szCs w:val="20"/>
        </w:rPr>
        <w:sectPr w:rsidR="008D142D">
          <w:pgSz w:w="16838" w:h="11906" w:orient="landscape"/>
          <w:pgMar w:top="850" w:right="850" w:bottom="850" w:left="1400" w:header="708" w:footer="708" w:gutter="0"/>
          <w:cols w:space="720"/>
          <w:noEndnote/>
        </w:sectPr>
      </w:pPr>
    </w:p>
    <w:tbl>
      <w:tblPr>
        <w:tblW w:w="0" w:type="auto"/>
        <w:tblInd w:w="108" w:type="dxa"/>
        <w:tblLayout w:type="fixed"/>
        <w:tblLook w:val="0000"/>
      </w:tblPr>
      <w:tblGrid>
        <w:gridCol w:w="2160"/>
        <w:gridCol w:w="4466"/>
        <w:gridCol w:w="1654"/>
        <w:gridCol w:w="1720"/>
      </w:tblGrid>
      <w:tr w:rsidR="008D142D">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8D142D">
        <w:trPr>
          <w:gridBefore w:val="2"/>
          <w:wBefore w:w="6626" w:type="dxa"/>
          <w:trHeight w:val="300"/>
        </w:trPr>
        <w:tc>
          <w:tcPr>
            <w:tcW w:w="1654" w:type="dxa"/>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01.04.2022</w:t>
            </w:r>
          </w:p>
        </w:tc>
      </w:tr>
      <w:tr w:rsidR="008D142D">
        <w:trPr>
          <w:trHeight w:val="298"/>
        </w:trPr>
        <w:tc>
          <w:tcPr>
            <w:tcW w:w="2160" w:type="dxa"/>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Приватне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Страховi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гарантiї</w:t>
            </w:r>
            <w:proofErr w:type="spellEnd"/>
            <w:r>
              <w:rPr>
                <w:rFonts w:ascii="Times New Roman CYR" w:hAnsi="Times New Roman CYR" w:cs="Times New Roman CYR"/>
              </w:rPr>
              <w:t xml:space="preserve"> України"</w:t>
            </w:r>
          </w:p>
        </w:tc>
        <w:tc>
          <w:tcPr>
            <w:tcW w:w="1654" w:type="dxa"/>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33832772</w:t>
            </w:r>
          </w:p>
        </w:tc>
      </w:tr>
      <w:tr w:rsidR="008D142D">
        <w:trPr>
          <w:trHeight w:val="298"/>
        </w:trPr>
        <w:tc>
          <w:tcPr>
            <w:tcW w:w="2160" w:type="dxa"/>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Територія</w:t>
            </w:r>
          </w:p>
        </w:tc>
        <w:tc>
          <w:tcPr>
            <w:tcW w:w="4466" w:type="dxa"/>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м.Київ</w:t>
            </w:r>
            <w:proofErr w:type="spellEnd"/>
          </w:p>
        </w:tc>
        <w:tc>
          <w:tcPr>
            <w:tcW w:w="1654" w:type="dxa"/>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КАТОТТГ</w:t>
            </w:r>
          </w:p>
        </w:tc>
        <w:tc>
          <w:tcPr>
            <w:tcW w:w="172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UA80000000000875983</w:t>
            </w:r>
          </w:p>
        </w:tc>
      </w:tr>
      <w:tr w:rsidR="008D142D">
        <w:trPr>
          <w:trHeight w:val="298"/>
        </w:trPr>
        <w:tc>
          <w:tcPr>
            <w:tcW w:w="2160" w:type="dxa"/>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 господарювання</w:t>
            </w:r>
          </w:p>
        </w:tc>
        <w:tc>
          <w:tcPr>
            <w:tcW w:w="4466" w:type="dxa"/>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Акціонерне товариство</w:t>
            </w:r>
          </w:p>
        </w:tc>
        <w:tc>
          <w:tcPr>
            <w:tcW w:w="1654" w:type="dxa"/>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w:t>
            </w:r>
          </w:p>
        </w:tc>
      </w:tr>
      <w:tr w:rsidR="008D142D">
        <w:trPr>
          <w:trHeight w:val="298"/>
        </w:trPr>
        <w:tc>
          <w:tcPr>
            <w:tcW w:w="2160" w:type="dxa"/>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економічної діяльності</w:t>
            </w:r>
          </w:p>
        </w:tc>
        <w:tc>
          <w:tcPr>
            <w:tcW w:w="4466" w:type="dxa"/>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види страхування, крім страхування життя</w:t>
            </w:r>
          </w:p>
        </w:tc>
        <w:tc>
          <w:tcPr>
            <w:tcW w:w="1654" w:type="dxa"/>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65.12</w:t>
            </w:r>
          </w:p>
        </w:tc>
      </w:tr>
    </w:tbl>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Середня кількість працівників: </w:t>
      </w:r>
      <w:r>
        <w:rPr>
          <w:rFonts w:ascii="Times New Roman CYR" w:hAnsi="Times New Roman CYR" w:cs="Times New Roman CYR"/>
        </w:rPr>
        <w:t>14</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Адреса, телефон: </w:t>
      </w:r>
      <w:r>
        <w:rPr>
          <w:rFonts w:ascii="Times New Roman CYR" w:hAnsi="Times New Roman CYR" w:cs="Times New Roman CYR"/>
        </w:rPr>
        <w:t xml:space="preserve">03115 м. Київ, вул. </w:t>
      </w:r>
      <w:proofErr w:type="spellStart"/>
      <w:r>
        <w:rPr>
          <w:rFonts w:ascii="Times New Roman CYR" w:hAnsi="Times New Roman CYR" w:cs="Times New Roman CYR"/>
        </w:rPr>
        <w:t>Львiвська</w:t>
      </w:r>
      <w:proofErr w:type="spellEnd"/>
      <w:r>
        <w:rPr>
          <w:rFonts w:ascii="Times New Roman CYR" w:hAnsi="Times New Roman CYR" w:cs="Times New Roman CYR"/>
        </w:rPr>
        <w:t>, 22, 0445370387</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Одиниця виміру: </w:t>
      </w:r>
      <w:proofErr w:type="spellStart"/>
      <w:r>
        <w:rPr>
          <w:rFonts w:ascii="Times New Roman CYR" w:hAnsi="Times New Roman CYR" w:cs="Times New Roman CYR"/>
        </w:rPr>
        <w:t>тис.грн</w:t>
      </w:r>
      <w:proofErr w:type="spellEnd"/>
      <w:r>
        <w:rPr>
          <w:rFonts w:ascii="Times New Roman CYR" w:hAnsi="Times New Roman CYR" w:cs="Times New Roman CYR"/>
        </w:rPr>
        <w:t>. без десяткового знака</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Складено </w:t>
      </w:r>
      <w:r>
        <w:rPr>
          <w:rFonts w:ascii="Times New Roman CYR" w:hAnsi="Times New Roman CYR" w:cs="Times New Roman CYR"/>
        </w:rPr>
        <w:t>(зробити позначку "v" у відповідній клітинці):</w:t>
      </w:r>
    </w:p>
    <w:tbl>
      <w:tblPr>
        <w:tblW w:w="0" w:type="auto"/>
        <w:tblInd w:w="108" w:type="dxa"/>
        <w:tblLayout w:type="fixed"/>
        <w:tblLook w:val="0000"/>
      </w:tblPr>
      <w:tblGrid>
        <w:gridCol w:w="8280"/>
        <w:gridCol w:w="1720"/>
      </w:tblGrid>
      <w:tr w:rsidR="008D142D">
        <w:trPr>
          <w:trHeight w:val="298"/>
        </w:trPr>
        <w:tc>
          <w:tcPr>
            <w:tcW w:w="8280" w:type="dxa"/>
            <w:vMerge w:val="restart"/>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національними положеннями (стандартами) бухгалтерського обліку</w:t>
            </w:r>
          </w:p>
        </w:tc>
        <w:tc>
          <w:tcPr>
            <w:tcW w:w="1720"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98"/>
        </w:trPr>
        <w:tc>
          <w:tcPr>
            <w:tcW w:w="8280" w:type="dxa"/>
            <w:vMerge w:val="restart"/>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міжнародними стандартами фінансової звітності</w:t>
            </w:r>
          </w:p>
        </w:tc>
        <w:tc>
          <w:tcPr>
            <w:tcW w:w="172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v</w:t>
            </w:r>
          </w:p>
        </w:tc>
      </w:tr>
    </w:tbl>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Баланс</w:t>
      </w: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фінансовий стан)</w:t>
      </w:r>
    </w:p>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sz w:val="24"/>
          <w:szCs w:val="24"/>
        </w:rPr>
        <w:t>на 31.03.2022 p.</w:t>
      </w:r>
    </w:p>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8D142D">
        <w:trPr>
          <w:gridBefore w:val="3"/>
          <w:wBefore w:w="7150" w:type="dxa"/>
          <w:trHeight w:val="280"/>
        </w:trPr>
        <w:tc>
          <w:tcPr>
            <w:tcW w:w="1501" w:type="dxa"/>
            <w:gridSpan w:val="2"/>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1801001</w:t>
            </w:r>
          </w:p>
        </w:tc>
      </w:tr>
      <w:tr w:rsidR="008D142D">
        <w:trPr>
          <w:trHeight w:val="3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259</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259</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388</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388</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( 129 )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( 129 )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6 815</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6 467</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17 894</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17 900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( 11 079 )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( 11 433 )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Відстрочені </w:t>
            </w:r>
            <w:proofErr w:type="spellStart"/>
            <w:r>
              <w:rPr>
                <w:rFonts w:ascii="Times New Roman CYR" w:hAnsi="Times New Roman CYR" w:cs="Times New Roman CYR"/>
              </w:rPr>
              <w:t>аквізиційні</w:t>
            </w:r>
            <w:proofErr w:type="spellEnd"/>
            <w:r>
              <w:rPr>
                <w:rFonts w:ascii="Times New Roman CYR" w:hAnsi="Times New Roman CYR" w:cs="Times New Roman CYR"/>
              </w:rPr>
              <w:t xml:space="preserve">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7 074</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6 726</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81</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129</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47 026</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46 491</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47 026</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46 491</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1 297</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1 297</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48 579</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47 408</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55 653</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54 134</w:t>
            </w:r>
          </w:p>
        </w:tc>
      </w:tr>
    </w:tbl>
    <w:p w:rsidR="008D142D" w:rsidRDefault="008D142D">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8D142D">
        <w:trPr>
          <w:trHeight w:val="529"/>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5"/>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1401</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3 722</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3 534</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1411</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1412</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18 485</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18 490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37 207</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37 024</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1521</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1526</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16 017</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15 769</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1531</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1532</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13 352</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14 320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1533</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2 665</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1 449</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1534</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Резерв на виплату </w:t>
            </w:r>
            <w:proofErr w:type="spellStart"/>
            <w:r>
              <w:rPr>
                <w:rFonts w:ascii="Times New Roman CYR" w:hAnsi="Times New Roman CYR" w:cs="Times New Roman CYR"/>
              </w:rPr>
              <w:t>джек-поту</w:t>
            </w:r>
            <w:proofErr w:type="spellEnd"/>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16 017</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15 769</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8D142D">
            <w:pPr>
              <w:widowControl w:val="0"/>
              <w:autoSpaceDE w:val="0"/>
              <w:autoSpaceDN w:val="0"/>
              <w:adjustRightInd w:val="0"/>
              <w:spacing w:after="0" w:line="240" w:lineRule="auto"/>
              <w:jc w:val="center"/>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203</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1621</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196</w:t>
            </w:r>
          </w:p>
        </w:tc>
      </w:tr>
      <w:tr w:rsidR="008D142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1650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1 736</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651</w:t>
            </w:r>
          </w:p>
        </w:tc>
      </w:tr>
      <w:tr w:rsidR="008D142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498</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477</w:t>
            </w:r>
          </w:p>
        </w:tc>
      </w:tr>
      <w:tr w:rsidR="008D142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1670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2 429</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1 341</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55 653</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54 134</w:t>
            </w:r>
          </w:p>
        </w:tc>
      </w:tr>
    </w:tbl>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Гусєва </w:t>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Олександрiвна</w:t>
      </w:r>
      <w:proofErr w:type="spellEnd"/>
    </w:p>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Боброва Тетяна </w:t>
      </w:r>
      <w:proofErr w:type="spellStart"/>
      <w:r>
        <w:rPr>
          <w:rFonts w:ascii="Times New Roman CYR" w:hAnsi="Times New Roman CYR" w:cs="Times New Roman CYR"/>
        </w:rPr>
        <w:t>Федорiвна</w:t>
      </w:r>
      <w:proofErr w:type="spellEnd"/>
    </w:p>
    <w:p w:rsidR="008D142D" w:rsidRDefault="008D142D">
      <w:pPr>
        <w:widowControl w:val="0"/>
        <w:autoSpaceDE w:val="0"/>
        <w:autoSpaceDN w:val="0"/>
        <w:adjustRightInd w:val="0"/>
        <w:spacing w:after="0" w:line="240" w:lineRule="auto"/>
        <w:rPr>
          <w:rFonts w:ascii="Times New Roman CYR" w:hAnsi="Times New Roman CYR" w:cs="Times New Roman CYR"/>
        </w:rPr>
        <w:sectPr w:rsidR="008D142D">
          <w:pgSz w:w="12240" w:h="15840"/>
          <w:pgMar w:top="850" w:right="850" w:bottom="850" w:left="1400" w:header="708" w:footer="708" w:gutter="0"/>
          <w:cols w:space="720"/>
          <w:noEndnote/>
        </w:sectPr>
      </w:pPr>
    </w:p>
    <w:tbl>
      <w:tblPr>
        <w:tblW w:w="0" w:type="auto"/>
        <w:tblInd w:w="108" w:type="dxa"/>
        <w:tblLayout w:type="fixed"/>
        <w:tblLook w:val="0000"/>
      </w:tblPr>
      <w:tblGrid>
        <w:gridCol w:w="2160"/>
        <w:gridCol w:w="4466"/>
        <w:gridCol w:w="1654"/>
        <w:gridCol w:w="1720"/>
      </w:tblGrid>
      <w:tr w:rsidR="008D142D">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8D142D">
        <w:trPr>
          <w:gridBefore w:val="2"/>
          <w:wBefore w:w="6626" w:type="dxa"/>
          <w:trHeight w:val="300"/>
        </w:trPr>
        <w:tc>
          <w:tcPr>
            <w:tcW w:w="1654" w:type="dxa"/>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01.04.2022</w:t>
            </w:r>
          </w:p>
        </w:tc>
      </w:tr>
      <w:tr w:rsidR="008D142D">
        <w:trPr>
          <w:trHeight w:val="298"/>
        </w:trPr>
        <w:tc>
          <w:tcPr>
            <w:tcW w:w="2160" w:type="dxa"/>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Приватне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Страховi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гарантiї</w:t>
            </w:r>
            <w:proofErr w:type="spellEnd"/>
            <w:r>
              <w:rPr>
                <w:rFonts w:ascii="Times New Roman CYR" w:hAnsi="Times New Roman CYR" w:cs="Times New Roman CYR"/>
              </w:rPr>
              <w:t xml:space="preserve"> України"</w:t>
            </w:r>
          </w:p>
        </w:tc>
        <w:tc>
          <w:tcPr>
            <w:tcW w:w="1654" w:type="dxa"/>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33832772</w:t>
            </w:r>
          </w:p>
        </w:tc>
      </w:tr>
    </w:tbl>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фінансові результати</w:t>
      </w: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сукупний дохід)</w:t>
      </w:r>
    </w:p>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1 квартал 2022 року</w:t>
      </w:r>
    </w:p>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№2</w:t>
      </w:r>
    </w:p>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8D142D">
        <w:trPr>
          <w:gridBefore w:val="3"/>
          <w:wBefore w:w="7150" w:type="dxa"/>
          <w:trHeight w:val="280"/>
        </w:trPr>
        <w:tc>
          <w:tcPr>
            <w:tcW w:w="1501" w:type="dxa"/>
            <w:gridSpan w:val="2"/>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1801003</w:t>
            </w:r>
          </w:p>
        </w:tc>
      </w:tr>
      <w:tr w:rsidR="008D142D">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769</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965</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202</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1 524</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( 52 )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( 690 )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-1 216</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-597</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-85</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Валовий:</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769</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965</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у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-968</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-221</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-968</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1 348</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використання коштів,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( 1 693 )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( 1 344 )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( 109 )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( 271 )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від операційної діяльності:</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( 574 )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( 979 )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397</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488</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до оподаткування:</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( 177 )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( 491 )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фінансовий результат:</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( 183 )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( 537 )</w:t>
            </w:r>
          </w:p>
        </w:tc>
      </w:tr>
    </w:tbl>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8D142D">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188</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2445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188</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188</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-537</w:t>
            </w:r>
          </w:p>
        </w:tc>
      </w:tr>
    </w:tbl>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III.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8D142D">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939</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699</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203</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354</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297</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2520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198</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540</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1 723</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1 724</w:t>
            </w:r>
          </w:p>
        </w:tc>
      </w:tr>
    </w:tbl>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8D142D">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2615</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2650</w:t>
            </w:r>
          </w:p>
        </w:tc>
        <w:tc>
          <w:tcPr>
            <w:tcW w:w="1729"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c>
          <w:tcPr>
            <w:tcW w:w="1645" w:type="dxa"/>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r>
    </w:tbl>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Гусєва </w:t>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Олександрiвна</w:t>
      </w:r>
      <w:proofErr w:type="spellEnd"/>
    </w:p>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Боброва Тетяна </w:t>
      </w:r>
      <w:proofErr w:type="spellStart"/>
      <w:r>
        <w:rPr>
          <w:rFonts w:ascii="Times New Roman CYR" w:hAnsi="Times New Roman CYR" w:cs="Times New Roman CYR"/>
        </w:rPr>
        <w:t>Федорiвна</w:t>
      </w:r>
      <w:proofErr w:type="spellEnd"/>
    </w:p>
    <w:p w:rsidR="008D142D" w:rsidRDefault="008D142D">
      <w:pPr>
        <w:widowControl w:val="0"/>
        <w:autoSpaceDE w:val="0"/>
        <w:autoSpaceDN w:val="0"/>
        <w:adjustRightInd w:val="0"/>
        <w:spacing w:after="0" w:line="240" w:lineRule="auto"/>
        <w:rPr>
          <w:rFonts w:ascii="Times New Roman CYR" w:hAnsi="Times New Roman CYR" w:cs="Times New Roman CYR"/>
        </w:rPr>
        <w:sectPr w:rsidR="008D142D">
          <w:pgSz w:w="12240" w:h="15840"/>
          <w:pgMar w:top="850" w:right="850" w:bottom="850" w:left="1400" w:header="708" w:footer="708" w:gutter="0"/>
          <w:cols w:space="720"/>
          <w:noEndnote/>
        </w:sectPr>
      </w:pPr>
    </w:p>
    <w:tbl>
      <w:tblPr>
        <w:tblW w:w="0" w:type="auto"/>
        <w:tblInd w:w="108" w:type="dxa"/>
        <w:tblLayout w:type="fixed"/>
        <w:tblLook w:val="0000"/>
      </w:tblPr>
      <w:tblGrid>
        <w:gridCol w:w="2160"/>
        <w:gridCol w:w="4490"/>
        <w:gridCol w:w="1990"/>
        <w:gridCol w:w="1360"/>
      </w:tblGrid>
      <w:tr w:rsidR="008D142D">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8D142D">
        <w:trPr>
          <w:gridBefore w:val="2"/>
          <w:wBefore w:w="6650" w:type="dxa"/>
          <w:trHeight w:val="200"/>
        </w:trPr>
        <w:tc>
          <w:tcPr>
            <w:tcW w:w="1990" w:type="dxa"/>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01.04.2022</w:t>
            </w:r>
          </w:p>
        </w:tc>
      </w:tr>
      <w:tr w:rsidR="008D142D">
        <w:tc>
          <w:tcPr>
            <w:tcW w:w="2160" w:type="dxa"/>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90" w:type="dxa"/>
            <w:vMerge w:val="restart"/>
            <w:tcBorders>
              <w:top w:val="nil"/>
              <w:left w:val="nil"/>
              <w:bottom w:val="nil"/>
              <w:right w:val="nil"/>
            </w:tcBorders>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Приватне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Страховi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гарантiї</w:t>
            </w:r>
            <w:proofErr w:type="spellEnd"/>
            <w:r>
              <w:rPr>
                <w:rFonts w:ascii="Times New Roman CYR" w:hAnsi="Times New Roman CYR" w:cs="Times New Roman CYR"/>
              </w:rPr>
              <w:t xml:space="preserve"> України"</w:t>
            </w:r>
          </w:p>
        </w:tc>
        <w:tc>
          <w:tcPr>
            <w:tcW w:w="1990" w:type="dxa"/>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33832772</w:t>
            </w:r>
          </w:p>
        </w:tc>
      </w:tr>
    </w:tbl>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прямим методом)</w:t>
      </w:r>
    </w:p>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1 квартал 2022 року</w:t>
      </w:r>
    </w:p>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874"/>
        <w:gridCol w:w="855"/>
        <w:gridCol w:w="645"/>
        <w:gridCol w:w="1000"/>
      </w:tblGrid>
      <w:tr w:rsidR="008D142D">
        <w:trPr>
          <w:gridBefore w:val="3"/>
          <w:wBefore w:w="7500" w:type="dxa"/>
          <w:trHeight w:val="280"/>
        </w:trPr>
        <w:tc>
          <w:tcPr>
            <w:tcW w:w="1500" w:type="dxa"/>
            <w:gridSpan w:val="2"/>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1801004</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tcPr>
          <w:p w:rsidR="008D142D" w:rsidRDefault="008D142D">
            <w:pPr>
              <w:widowControl w:val="0"/>
              <w:autoSpaceDE w:val="0"/>
              <w:autoSpaceDN w:val="0"/>
              <w:adjustRightInd w:val="0"/>
              <w:spacing w:after="0" w:line="240" w:lineRule="auto"/>
              <w:jc w:val="right"/>
              <w:rPr>
                <w:rFonts w:ascii="Times New Roman CYR" w:hAnsi="Times New Roman CYR" w:cs="Times New Roman CYR"/>
              </w:r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8D142D">
        <w:trPr>
          <w:trHeight w:val="200"/>
        </w:trPr>
        <w:tc>
          <w:tcPr>
            <w:tcW w:w="5850" w:type="dxa"/>
            <w:tcBorders>
              <w:top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Рух коштів у результаті операційної діяльності</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Повернення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188</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1 308</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( 94 )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( 119 )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Праці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( 767 )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( 540 )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( 209 )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( 147 )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( 189 )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( 494 )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( 331 )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інших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( 189 )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( 163 )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( 69 )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( 57 )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( 1 187 )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( 635 )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( 22 )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( 44 )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-2 342</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-714</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Рух коштів у результаті інвестиційної діяльності</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464</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( 52 )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412</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III. Рух коштів у результаті фінансової діяльності</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продажу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8D142D" w:rsidRDefault="008D142D">
            <w:pPr>
              <w:widowControl w:val="0"/>
              <w:autoSpaceDE w:val="0"/>
              <w:autoSpaceDN w:val="0"/>
              <w:adjustRightInd w:val="0"/>
              <w:spacing w:after="0" w:line="240" w:lineRule="auto"/>
              <w:rPr>
                <w:rFonts w:ascii="Times New Roman CYR" w:hAnsi="Times New Roman CYR" w:cs="Times New Roman CYR"/>
              </w:rPr>
            </w:pP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-1 922</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47 026</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47 266</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1 387</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-268</w:t>
            </w:r>
          </w:p>
        </w:tc>
      </w:tr>
      <w:tr w:rsidR="008D142D">
        <w:trPr>
          <w:trHeight w:val="200"/>
        </w:trPr>
        <w:tc>
          <w:tcPr>
            <w:tcW w:w="58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46 491</w:t>
            </w:r>
          </w:p>
        </w:tc>
        <w:tc>
          <w:tcPr>
            <w:tcW w:w="1645"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46 696</w:t>
            </w:r>
          </w:p>
        </w:tc>
      </w:tr>
    </w:tbl>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Гусєва </w:t>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Олександрiвна</w:t>
      </w:r>
      <w:proofErr w:type="spellEnd"/>
    </w:p>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Боброва Тетяна </w:t>
      </w:r>
      <w:proofErr w:type="spellStart"/>
      <w:r>
        <w:rPr>
          <w:rFonts w:ascii="Times New Roman CYR" w:hAnsi="Times New Roman CYR" w:cs="Times New Roman CYR"/>
        </w:rPr>
        <w:t>Федорiвна</w:t>
      </w:r>
      <w:proofErr w:type="spellEnd"/>
    </w:p>
    <w:p w:rsidR="008D142D" w:rsidRDefault="008D142D">
      <w:pPr>
        <w:widowControl w:val="0"/>
        <w:autoSpaceDE w:val="0"/>
        <w:autoSpaceDN w:val="0"/>
        <w:adjustRightInd w:val="0"/>
        <w:spacing w:after="0" w:line="240" w:lineRule="auto"/>
        <w:rPr>
          <w:rFonts w:ascii="Times New Roman CYR" w:hAnsi="Times New Roman CYR" w:cs="Times New Roman CYR"/>
        </w:rPr>
        <w:sectPr w:rsidR="008D142D">
          <w:pgSz w:w="12240" w:h="15840"/>
          <w:pgMar w:top="850" w:right="850" w:bottom="850" w:left="1400" w:header="708" w:footer="708" w:gutter="0"/>
          <w:cols w:space="720"/>
          <w:noEndnote/>
        </w:sectPr>
      </w:pPr>
    </w:p>
    <w:tbl>
      <w:tblPr>
        <w:tblW w:w="0" w:type="auto"/>
        <w:tblInd w:w="3168" w:type="dxa"/>
        <w:tblLayout w:type="fixed"/>
        <w:tblLook w:val="0000"/>
      </w:tblPr>
      <w:tblGrid>
        <w:gridCol w:w="2240"/>
        <w:gridCol w:w="5500"/>
        <w:gridCol w:w="1800"/>
        <w:gridCol w:w="2000"/>
      </w:tblGrid>
      <w:tr w:rsidR="008D142D">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8D142D">
        <w:trPr>
          <w:gridBefore w:val="2"/>
          <w:wBefore w:w="7740" w:type="dxa"/>
          <w:trHeight w:val="298"/>
        </w:trPr>
        <w:tc>
          <w:tcPr>
            <w:tcW w:w="1800" w:type="dxa"/>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01.04.2022</w:t>
            </w:r>
          </w:p>
        </w:tc>
      </w:tr>
      <w:tr w:rsidR="008D142D">
        <w:tc>
          <w:tcPr>
            <w:tcW w:w="2240" w:type="dxa"/>
            <w:tcBorders>
              <w:top w:val="nil"/>
              <w:left w:val="nil"/>
              <w:bottom w:val="nil"/>
              <w:right w:val="nil"/>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5500" w:type="dxa"/>
            <w:vMerge w:val="restart"/>
            <w:tcBorders>
              <w:top w:val="nil"/>
              <w:left w:val="nil"/>
              <w:bottom w:val="nil"/>
              <w:right w:val="nil"/>
            </w:tcBorders>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Приватне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Страховi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гарантiї</w:t>
            </w:r>
            <w:proofErr w:type="spellEnd"/>
            <w:r>
              <w:rPr>
                <w:rFonts w:ascii="Times New Roman CYR" w:hAnsi="Times New Roman CYR" w:cs="Times New Roman CYR"/>
              </w:rPr>
              <w:t xml:space="preserve"> України"</w:t>
            </w:r>
          </w:p>
        </w:tc>
        <w:tc>
          <w:tcPr>
            <w:tcW w:w="1800" w:type="dxa"/>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33832772</w:t>
            </w:r>
          </w:p>
        </w:tc>
      </w:tr>
    </w:tbl>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власний капітал</w:t>
      </w:r>
    </w:p>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1 квартал 2022 року</w:t>
      </w:r>
    </w:p>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№4</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0"/>
        <w:gridCol w:w="1250"/>
        <w:gridCol w:w="1100"/>
        <w:gridCol w:w="1350"/>
        <w:gridCol w:w="1300"/>
        <w:gridCol w:w="1200"/>
        <w:gridCol w:w="1300"/>
        <w:gridCol w:w="950"/>
        <w:gridCol w:w="550"/>
        <w:gridCol w:w="1250"/>
        <w:gridCol w:w="50"/>
        <w:gridCol w:w="1250"/>
      </w:tblGrid>
      <w:tr w:rsidR="008D142D">
        <w:trPr>
          <w:gridBefore w:val="8"/>
          <w:wBefore w:w="11500" w:type="dxa"/>
          <w:trHeight w:val="280"/>
        </w:trPr>
        <w:tc>
          <w:tcPr>
            <w:tcW w:w="1800" w:type="dxa"/>
            <w:gridSpan w:val="2"/>
            <w:tcBorders>
              <w:top w:val="nil"/>
              <w:left w:val="nil"/>
              <w:bottom w:val="nil"/>
              <w:right w:val="single" w:sz="6" w:space="0" w:color="auto"/>
            </w:tcBorders>
            <w:vAlign w:val="center"/>
          </w:tcPr>
          <w:p w:rsidR="008D142D" w:rsidRDefault="00F22F7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00" w:type="dxa"/>
            <w:gridSpan w:val="2"/>
            <w:tcBorders>
              <w:top w:val="single" w:sz="6" w:space="0" w:color="auto"/>
              <w:left w:val="single" w:sz="6" w:space="0" w:color="auto"/>
              <w:bottom w:val="single" w:sz="6" w:space="0" w:color="auto"/>
            </w:tcBorders>
            <w:vAlign w:val="center"/>
          </w:tcPr>
          <w:p w:rsidR="008D142D" w:rsidRDefault="00F22F7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1801005</w:t>
            </w:r>
          </w:p>
        </w:tc>
      </w:tr>
      <w:tr w:rsidR="008D142D">
        <w:trPr>
          <w:trHeight w:val="530"/>
        </w:trPr>
        <w:tc>
          <w:tcPr>
            <w:tcW w:w="3050" w:type="dxa"/>
            <w:tcBorders>
              <w:top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100"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Зареєстрований капітал</w:t>
            </w:r>
          </w:p>
        </w:tc>
        <w:tc>
          <w:tcPr>
            <w:tcW w:w="1350"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Капітал у дооцінках</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Додатковий капітал</w:t>
            </w:r>
          </w:p>
        </w:tc>
        <w:tc>
          <w:tcPr>
            <w:tcW w:w="1200"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Резервний капітал</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Неоплачений капітал</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Вилучений капітал</w:t>
            </w:r>
          </w:p>
        </w:tc>
        <w:tc>
          <w:tcPr>
            <w:tcW w:w="1250" w:type="dxa"/>
            <w:tcBorders>
              <w:top w:val="single" w:sz="6" w:space="0" w:color="auto"/>
              <w:left w:val="single" w:sz="6" w:space="0" w:color="auto"/>
              <w:bottom w:val="single" w:sz="6" w:space="0" w:color="auto"/>
            </w:tcBorders>
            <w:shd w:val="clear" w:color="auto" w:fill="E6E6E6"/>
            <w:vAlign w:val="center"/>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Всього</w:t>
            </w:r>
          </w:p>
        </w:tc>
      </w:tr>
      <w:tr w:rsidR="008D142D">
        <w:trPr>
          <w:trHeight w:val="200"/>
        </w:trPr>
        <w:tc>
          <w:tcPr>
            <w:tcW w:w="3050" w:type="dxa"/>
            <w:tcBorders>
              <w:top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100" w:type="dxa"/>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350" w:type="dxa"/>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250" w:type="dxa"/>
            <w:tcBorders>
              <w:top w:val="single" w:sz="6" w:space="0" w:color="auto"/>
              <w:left w:val="single" w:sz="6" w:space="0" w:color="auto"/>
              <w:bottom w:val="single" w:sz="6" w:space="0" w:color="auto"/>
            </w:tcBorders>
            <w:shd w:val="clear" w:color="auto" w:fill="E6E6E6"/>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3 722</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18 485</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37 207</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Коригування:</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4005</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4010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4095</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3 722</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18 485</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37 207</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4100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-183</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-183</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-188</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188</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4111</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-188</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188</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4112</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4113</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4114</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4116</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Розподіл прибутку: </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Спрямування прибутку до </w:t>
            </w:r>
            <w:r>
              <w:rPr>
                <w:rFonts w:ascii="Times New Roman CYR" w:hAnsi="Times New Roman CYR" w:cs="Times New Roman CYR"/>
              </w:rPr>
              <w:lastRenderedPageBreak/>
              <w:t xml:space="preserve">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4205</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Відрахування до резервного капіталу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4215</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4225</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Внески учасників: </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4245</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Вилучення капіталу: </w:t>
            </w: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4265</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4275</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4280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4291</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4295</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-188</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-183</w:t>
            </w:r>
          </w:p>
        </w:tc>
      </w:tr>
      <w:tr w:rsidR="008D142D">
        <w:trPr>
          <w:trHeight w:val="200"/>
        </w:trPr>
        <w:tc>
          <w:tcPr>
            <w:tcW w:w="3050" w:type="dxa"/>
            <w:tcBorders>
              <w:top w:val="single" w:sz="6" w:space="0" w:color="auto"/>
              <w:bottom w:val="single" w:sz="6" w:space="0" w:color="auto"/>
              <w:right w:val="single" w:sz="6" w:space="0" w:color="auto"/>
            </w:tcBorders>
            <w:vAlign w:val="center"/>
          </w:tcPr>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4300</w:t>
            </w:r>
          </w:p>
        </w:tc>
        <w:tc>
          <w:tcPr>
            <w:tcW w:w="11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c>
          <w:tcPr>
            <w:tcW w:w="135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3 534</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c>
          <w:tcPr>
            <w:tcW w:w="1300" w:type="dxa"/>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18 490</w:t>
            </w:r>
          </w:p>
        </w:tc>
        <w:tc>
          <w:tcPr>
            <w:tcW w:w="15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8D142D" w:rsidRDefault="00F22F7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37 024</w:t>
            </w:r>
          </w:p>
        </w:tc>
      </w:tr>
    </w:tbl>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Гусєва </w:t>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Олександрiвна</w:t>
      </w:r>
      <w:proofErr w:type="spellEnd"/>
    </w:p>
    <w:p w:rsidR="008D142D" w:rsidRDefault="008D142D">
      <w:pPr>
        <w:widowControl w:val="0"/>
        <w:autoSpaceDE w:val="0"/>
        <w:autoSpaceDN w:val="0"/>
        <w:adjustRightInd w:val="0"/>
        <w:spacing w:after="0" w:line="240" w:lineRule="auto"/>
        <w:rPr>
          <w:rFonts w:ascii="Times New Roman CYR" w:hAnsi="Times New Roman CYR" w:cs="Times New Roman CYR"/>
        </w:rPr>
      </w:pPr>
    </w:p>
    <w:p w:rsidR="008D142D" w:rsidRDefault="00F22F7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 xml:space="preserve">Боброва Тетяна </w:t>
      </w:r>
      <w:proofErr w:type="spellStart"/>
      <w:r>
        <w:rPr>
          <w:rFonts w:ascii="Times New Roman CYR" w:hAnsi="Times New Roman CYR" w:cs="Times New Roman CYR"/>
        </w:rPr>
        <w:t>Федорiвна</w:t>
      </w:r>
      <w:proofErr w:type="spellEnd"/>
    </w:p>
    <w:p w:rsidR="008D142D" w:rsidRDefault="008D142D">
      <w:pPr>
        <w:widowControl w:val="0"/>
        <w:autoSpaceDE w:val="0"/>
        <w:autoSpaceDN w:val="0"/>
        <w:adjustRightInd w:val="0"/>
        <w:spacing w:after="0" w:line="240" w:lineRule="auto"/>
        <w:rPr>
          <w:rFonts w:ascii="Times New Roman CYR" w:hAnsi="Times New Roman CYR" w:cs="Times New Roman CYR"/>
        </w:rPr>
        <w:sectPr w:rsidR="008D142D">
          <w:pgSz w:w="16838" w:h="11906" w:orient="landscape"/>
          <w:pgMar w:top="850" w:right="850" w:bottom="850" w:left="1400" w:header="708" w:footer="708" w:gutter="0"/>
          <w:cols w:space="720"/>
          <w:noEndnote/>
        </w:sectPr>
      </w:pPr>
    </w:p>
    <w:p w:rsidR="00895A49" w:rsidRPr="00895A49" w:rsidRDefault="00895A49" w:rsidP="00895A49">
      <w:pPr>
        <w:widowControl w:val="0"/>
        <w:spacing w:after="0" w:line="240" w:lineRule="auto"/>
        <w:jc w:val="center"/>
        <w:rPr>
          <w:rFonts w:ascii="Times New Roman" w:hAnsi="Times New Roman" w:cs="Times New Roman"/>
          <w:b/>
          <w:bCs/>
          <w:sz w:val="24"/>
          <w:szCs w:val="24"/>
        </w:rPr>
      </w:pPr>
    </w:p>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ПРИМІТКИ</w:t>
      </w:r>
    </w:p>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до проміжної фінансової звітності складені відповідно до МСФЗ</w:t>
      </w:r>
    </w:p>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Приватного акціонерного товариства «Страхові гарантії України»</w:t>
      </w:r>
    </w:p>
    <w:p w:rsidR="00895A49" w:rsidRPr="00895A49" w:rsidRDefault="00895A49" w:rsidP="00895A49">
      <w:pPr>
        <w:widowControl w:val="0"/>
        <w:spacing w:after="0" w:line="240" w:lineRule="auto"/>
        <w:jc w:val="center"/>
        <w:rPr>
          <w:rFonts w:ascii="Times New Roman" w:hAnsi="Times New Roman" w:cs="Times New Roman"/>
          <w:bCs/>
          <w:sz w:val="24"/>
          <w:szCs w:val="24"/>
        </w:rPr>
      </w:pPr>
      <w:r w:rsidRPr="00895A49">
        <w:rPr>
          <w:rFonts w:ascii="Times New Roman" w:hAnsi="Times New Roman" w:cs="Times New Roman"/>
          <w:b/>
          <w:bCs/>
          <w:sz w:val="24"/>
          <w:szCs w:val="24"/>
        </w:rPr>
        <w:t>станом на 31 березня2022 року</w:t>
      </w:r>
    </w:p>
    <w:p w:rsidR="00895A49" w:rsidRPr="00895A49" w:rsidRDefault="00895A49" w:rsidP="00895A49">
      <w:pPr>
        <w:widowControl w:val="0"/>
        <w:spacing w:after="0" w:line="240" w:lineRule="auto"/>
        <w:rPr>
          <w:rFonts w:ascii="Times New Roman" w:hAnsi="Times New Roman" w:cs="Times New Roman"/>
          <w:bCs/>
          <w:sz w:val="24"/>
          <w:szCs w:val="24"/>
        </w:rPr>
      </w:pPr>
    </w:p>
    <w:p w:rsidR="00895A49" w:rsidRPr="00895A49" w:rsidRDefault="00895A49" w:rsidP="00895A49">
      <w:pPr>
        <w:pStyle w:val="ac"/>
        <w:widowControl w:val="0"/>
        <w:ind w:left="0"/>
        <w:contextualSpacing w:val="0"/>
        <w:rPr>
          <w:b/>
        </w:rPr>
      </w:pPr>
      <w:r w:rsidRPr="00895A49">
        <w:rPr>
          <w:b/>
        </w:rPr>
        <w:t xml:space="preserve">1.   Загальна інформація  </w:t>
      </w:r>
    </w:p>
    <w:p w:rsidR="00895A49" w:rsidRPr="00895A49" w:rsidRDefault="00895A49" w:rsidP="00895A49">
      <w:pPr>
        <w:widowControl w:val="0"/>
        <w:spacing w:after="0" w:line="240" w:lineRule="auto"/>
        <w:jc w:val="both"/>
        <w:rPr>
          <w:rFonts w:ascii="Times New Roman" w:hAnsi="Times New Roman" w:cs="Times New Roman"/>
          <w:b/>
          <w:sz w:val="24"/>
          <w:szCs w:val="24"/>
        </w:rPr>
      </w:pPr>
      <w:r w:rsidRPr="00895A49">
        <w:rPr>
          <w:rFonts w:ascii="Times New Roman" w:hAnsi="Times New Roman" w:cs="Times New Roman"/>
          <w:b/>
          <w:sz w:val="24"/>
          <w:szCs w:val="24"/>
        </w:rPr>
        <w:t>(а) Організаційна структура та основні види діяльності</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Приватне акціонерне товариство «Страхові гарантії України», скорочена назва </w:t>
      </w:r>
      <w:proofErr w:type="spellStart"/>
      <w:r w:rsidRPr="00895A49">
        <w:rPr>
          <w:rFonts w:ascii="Times New Roman" w:hAnsi="Times New Roman" w:cs="Times New Roman"/>
          <w:sz w:val="24"/>
          <w:szCs w:val="24"/>
        </w:rPr>
        <w:t>ПрАТ</w:t>
      </w:r>
      <w:proofErr w:type="spellEnd"/>
      <w:r w:rsidRPr="00895A49">
        <w:rPr>
          <w:rFonts w:ascii="Times New Roman" w:hAnsi="Times New Roman" w:cs="Times New Roman"/>
          <w:sz w:val="24"/>
          <w:szCs w:val="24"/>
        </w:rPr>
        <w:t xml:space="preserve"> «СГУ»  (надалі – Компанія), було зареєстровано 16.11.2005 року як закрите акціонерне товариство «Страхова компанія «Страхові гарантії України» відповідно до чинного законодавства України. У 2011 році прийнято рішення про зміну типу Компанії у зв’язку з приведенням установчих  документів у відповідність до Закону України «Про акціонерні товариства»  на Приватне акціонерне товариство «Страхові гарантії України».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Основними напрямками діяльності Компанії є надання послуг з страхування (крім страхування життя), перестрахування і фінансова діяльність, пов’язана з формуванням,  розміщенням страхових резервів та їх управлінням.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Компанія здійснює свою діяльність згідно вимог чинного законодавства на підставі ліцензій, виданих  Державною комісією з регулювання ринків фінансових послуг. </w:t>
      </w:r>
      <w:proofErr w:type="spellStart"/>
      <w:r w:rsidRPr="00895A49">
        <w:rPr>
          <w:rFonts w:ascii="Times New Roman" w:hAnsi="Times New Roman" w:cs="Times New Roman"/>
          <w:sz w:val="24"/>
          <w:szCs w:val="24"/>
        </w:rPr>
        <w:t>ПрАТ</w:t>
      </w:r>
      <w:proofErr w:type="spellEnd"/>
      <w:r w:rsidRPr="00895A49">
        <w:rPr>
          <w:rFonts w:ascii="Times New Roman" w:hAnsi="Times New Roman" w:cs="Times New Roman"/>
          <w:sz w:val="24"/>
          <w:szCs w:val="24"/>
        </w:rPr>
        <w:t xml:space="preserve"> «СГУ» має  ліцензії на здійснення 15 видів страхової діяльності, в тому числі: 4 видів обов’язкового страхування та 11 видів добровільного страхування</w:t>
      </w:r>
      <w:r w:rsidRPr="00895A49">
        <w:rPr>
          <w:rStyle w:val="aff5"/>
          <w:rFonts w:ascii="Times New Roman" w:hAnsi="Times New Roman" w:cs="Times New Roman"/>
          <w:sz w:val="24"/>
          <w:szCs w:val="24"/>
          <w:lang w:eastAsia="ru-RU"/>
        </w:rPr>
        <w:t>.</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Рейтинговим комітетом РА «Експерт-Рейтинг» 2</w:t>
      </w:r>
      <w:r w:rsidRPr="00895A49">
        <w:rPr>
          <w:rFonts w:ascii="Times New Roman" w:hAnsi="Times New Roman" w:cs="Times New Roman"/>
          <w:bCs/>
          <w:sz w:val="24"/>
          <w:szCs w:val="24"/>
        </w:rPr>
        <w:t>грудня 2019</w:t>
      </w:r>
      <w:r w:rsidRPr="00895A49">
        <w:rPr>
          <w:rFonts w:ascii="Times New Roman" w:hAnsi="Times New Roman" w:cs="Times New Roman"/>
          <w:sz w:val="24"/>
          <w:szCs w:val="24"/>
        </w:rPr>
        <w:t xml:space="preserve">року </w:t>
      </w:r>
      <w:proofErr w:type="spellStart"/>
      <w:r w:rsidRPr="00895A49">
        <w:rPr>
          <w:rFonts w:ascii="Times New Roman" w:hAnsi="Times New Roman" w:cs="Times New Roman"/>
          <w:sz w:val="24"/>
          <w:szCs w:val="24"/>
        </w:rPr>
        <w:t>ПрАТ</w:t>
      </w:r>
      <w:proofErr w:type="spellEnd"/>
      <w:r w:rsidRPr="00895A49">
        <w:rPr>
          <w:rFonts w:ascii="Times New Roman" w:hAnsi="Times New Roman" w:cs="Times New Roman"/>
          <w:sz w:val="24"/>
          <w:szCs w:val="24"/>
        </w:rPr>
        <w:t xml:space="preserve"> «СГУ» було присвоєно рейтинг фінансової стійкості страховика /кредитний рейтинг за національною шкалою на рівні </w:t>
      </w:r>
      <w:proofErr w:type="spellStart"/>
      <w:r w:rsidRPr="00895A49">
        <w:rPr>
          <w:rFonts w:ascii="Times New Roman" w:hAnsi="Times New Roman" w:cs="Times New Roman"/>
          <w:b/>
          <w:sz w:val="24"/>
          <w:szCs w:val="24"/>
          <w:lang w:val="en-US"/>
        </w:rPr>
        <w:t>uaAA</w:t>
      </w:r>
      <w:proofErr w:type="spellEnd"/>
      <w:r>
        <w:rPr>
          <w:rFonts w:ascii="Times New Roman" w:hAnsi="Times New Roman" w:cs="Times New Roman"/>
          <w:b/>
          <w:sz w:val="24"/>
          <w:szCs w:val="24"/>
        </w:rPr>
        <w:t xml:space="preserve"> </w:t>
      </w:r>
      <w:r w:rsidRPr="00895A49">
        <w:rPr>
          <w:rFonts w:ascii="Times New Roman" w:hAnsi="Times New Roman" w:cs="Times New Roman"/>
          <w:sz w:val="24"/>
          <w:szCs w:val="24"/>
        </w:rPr>
        <w:t xml:space="preserve">(рейтинг оновлюється кожні 6 місяців, останнє </w:t>
      </w:r>
      <w:r w:rsidRPr="00895A49">
        <w:rPr>
          <w:rFonts w:ascii="Times New Roman" w:hAnsi="Times New Roman" w:cs="Times New Roman"/>
          <w:color w:val="000000"/>
          <w:sz w:val="24"/>
          <w:szCs w:val="24"/>
          <w:shd w:val="clear" w:color="auto" w:fill="FFFFFF"/>
        </w:rPr>
        <w:t>оновлення рейтингу Компанії відбулося 28.04.2022р.).</w:t>
      </w:r>
      <w:r>
        <w:rPr>
          <w:rFonts w:ascii="Times New Roman" w:hAnsi="Times New Roman" w:cs="Times New Roman"/>
          <w:color w:val="000000"/>
          <w:sz w:val="24"/>
          <w:szCs w:val="24"/>
          <w:shd w:val="clear" w:color="auto" w:fill="FFFFFF"/>
        </w:rPr>
        <w:t xml:space="preserve"> </w:t>
      </w:r>
      <w:r w:rsidRPr="00895A49">
        <w:rPr>
          <w:rFonts w:ascii="Times New Roman" w:hAnsi="Times New Roman" w:cs="Times New Roman"/>
          <w:sz w:val="24"/>
          <w:szCs w:val="24"/>
        </w:rPr>
        <w:t xml:space="preserve">Страховик з рейтингом </w:t>
      </w:r>
      <w:proofErr w:type="spellStart"/>
      <w:r w:rsidRPr="00895A49">
        <w:rPr>
          <w:rFonts w:ascii="Times New Roman" w:hAnsi="Times New Roman" w:cs="Times New Roman"/>
          <w:sz w:val="24"/>
          <w:szCs w:val="24"/>
          <w:lang w:val="en-US"/>
        </w:rPr>
        <w:t>uaAA</w:t>
      </w:r>
      <w:proofErr w:type="spellEnd"/>
      <w:r w:rsidRPr="00895A49">
        <w:rPr>
          <w:rFonts w:ascii="Times New Roman" w:hAnsi="Times New Roman" w:cs="Times New Roman"/>
          <w:sz w:val="24"/>
          <w:szCs w:val="24"/>
        </w:rPr>
        <w:t xml:space="preserve"> характеризується дуже високим рівнем фінансової стійкості порівняно з іншими українськими страховиками. </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sz w:val="24"/>
          <w:szCs w:val="24"/>
        </w:rPr>
        <w:t>Компанія не має окремих територіальних відділень.</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Місцезнаходження офісу Компанії: </w:t>
      </w:r>
      <w:r w:rsidRPr="00895A49">
        <w:rPr>
          <w:rFonts w:ascii="Times New Roman" w:hAnsi="Times New Roman" w:cs="Times New Roman"/>
          <w:bCs/>
          <w:sz w:val="24"/>
          <w:szCs w:val="24"/>
        </w:rPr>
        <w:t>Україна, 03115, м. Київ, вул. Львівська, 22.</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Станом на 31 березня 2022 загальна чисельність працівників Компанії складає 14 осіб (на 31 березня 2021р. - 13 осіб).</w:t>
      </w: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Акціонерами</w:t>
      </w:r>
      <w:r>
        <w:rPr>
          <w:rFonts w:ascii="Times New Roman" w:hAnsi="Times New Roman" w:cs="Times New Roman"/>
          <w:sz w:val="24"/>
          <w:szCs w:val="24"/>
        </w:rPr>
        <w:t xml:space="preserve"> </w:t>
      </w:r>
      <w:r w:rsidRPr="00895A49">
        <w:rPr>
          <w:rFonts w:ascii="Times New Roman" w:hAnsi="Times New Roman" w:cs="Times New Roman"/>
          <w:sz w:val="24"/>
          <w:szCs w:val="24"/>
        </w:rPr>
        <w:t xml:space="preserve">Компанії є фізичні особи, зареєстровані на території України. Власниками істотної участі </w:t>
      </w:r>
      <w:proofErr w:type="spellStart"/>
      <w:r w:rsidRPr="00895A49">
        <w:rPr>
          <w:rFonts w:ascii="Times New Roman" w:hAnsi="Times New Roman" w:cs="Times New Roman"/>
          <w:sz w:val="24"/>
          <w:szCs w:val="24"/>
        </w:rPr>
        <w:t>ПрАТ</w:t>
      </w:r>
      <w:proofErr w:type="spellEnd"/>
      <w:r w:rsidRPr="00895A49">
        <w:rPr>
          <w:rFonts w:ascii="Times New Roman" w:hAnsi="Times New Roman" w:cs="Times New Roman"/>
          <w:sz w:val="24"/>
          <w:szCs w:val="24"/>
        </w:rPr>
        <w:t xml:space="preserve"> «СГУ» є:</w:t>
      </w:r>
    </w:p>
    <w:p w:rsidR="00895A49" w:rsidRPr="00895A49" w:rsidRDefault="00895A49" w:rsidP="00895A49">
      <w:pPr>
        <w:widowControl w:val="0"/>
        <w:spacing w:after="0" w:line="240" w:lineRule="auto"/>
        <w:jc w:val="both"/>
        <w:rPr>
          <w:rFonts w:ascii="Times New Roman" w:hAnsi="Times New Roman" w:cs="Times New Roman"/>
          <w:sz w:val="24"/>
          <w:szCs w:val="24"/>
        </w:rPr>
      </w:pPr>
    </w:p>
    <w:tbl>
      <w:tblPr>
        <w:tblW w:w="9711" w:type="dxa"/>
        <w:tblInd w:w="108" w:type="dxa"/>
        <w:tblLook w:val="04A0"/>
      </w:tblPr>
      <w:tblGrid>
        <w:gridCol w:w="6379"/>
        <w:gridCol w:w="3332"/>
      </w:tblGrid>
      <w:tr w:rsidR="00895A49" w:rsidRPr="00895A49" w:rsidTr="00410EA4">
        <w:tc>
          <w:tcPr>
            <w:tcW w:w="6379" w:type="dxa"/>
            <w:tcBorders>
              <w:bottom w:val="single" w:sz="4" w:space="0" w:color="auto"/>
            </w:tcBorders>
            <w:shd w:val="clear" w:color="auto" w:fill="auto"/>
          </w:tcPr>
          <w:p w:rsidR="00895A49" w:rsidRPr="00895A49" w:rsidRDefault="00895A49" w:rsidP="00895A49">
            <w:pPr>
              <w:widowControl w:val="0"/>
              <w:spacing w:after="0" w:line="240" w:lineRule="auto"/>
              <w:jc w:val="both"/>
              <w:rPr>
                <w:rFonts w:ascii="Times New Roman" w:hAnsi="Times New Roman" w:cs="Times New Roman"/>
                <w:b/>
                <w:sz w:val="24"/>
                <w:szCs w:val="24"/>
              </w:rPr>
            </w:pPr>
            <w:r w:rsidRPr="00895A49">
              <w:rPr>
                <w:rFonts w:ascii="Times New Roman" w:hAnsi="Times New Roman" w:cs="Times New Roman"/>
                <w:b/>
                <w:sz w:val="24"/>
                <w:szCs w:val="24"/>
              </w:rPr>
              <w:t>Акціонер</w:t>
            </w:r>
          </w:p>
        </w:tc>
        <w:tc>
          <w:tcPr>
            <w:tcW w:w="3332" w:type="dxa"/>
            <w:tcBorders>
              <w:bottom w:val="single" w:sz="4" w:space="0" w:color="auto"/>
            </w:tcBorders>
            <w:shd w:val="clear" w:color="auto" w:fill="auto"/>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Частка володіння,  %</w:t>
            </w:r>
          </w:p>
        </w:tc>
      </w:tr>
      <w:tr w:rsidR="00895A49" w:rsidRPr="00895A49" w:rsidTr="00410EA4">
        <w:tc>
          <w:tcPr>
            <w:tcW w:w="6379" w:type="dxa"/>
            <w:tcBorders>
              <w:top w:val="single" w:sz="4" w:space="0" w:color="auto"/>
            </w:tcBorders>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proofErr w:type="spellStart"/>
            <w:r w:rsidRPr="00895A49">
              <w:rPr>
                <w:rFonts w:ascii="Times New Roman" w:hAnsi="Times New Roman" w:cs="Times New Roman"/>
                <w:sz w:val="24"/>
                <w:szCs w:val="24"/>
              </w:rPr>
              <w:t>Яцько</w:t>
            </w:r>
            <w:proofErr w:type="spellEnd"/>
            <w:r w:rsidRPr="00895A49">
              <w:rPr>
                <w:rFonts w:ascii="Times New Roman" w:hAnsi="Times New Roman" w:cs="Times New Roman"/>
                <w:sz w:val="24"/>
                <w:szCs w:val="24"/>
              </w:rPr>
              <w:t xml:space="preserve"> В.В.</w:t>
            </w:r>
          </w:p>
        </w:tc>
        <w:tc>
          <w:tcPr>
            <w:tcW w:w="3332" w:type="dxa"/>
            <w:tcBorders>
              <w:top w:val="single" w:sz="4" w:space="0" w:color="auto"/>
            </w:tcBorders>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45</w:t>
            </w:r>
          </w:p>
        </w:tc>
      </w:tr>
      <w:tr w:rsidR="00895A49" w:rsidRPr="00895A49" w:rsidTr="00410EA4">
        <w:tc>
          <w:tcPr>
            <w:tcW w:w="6379" w:type="dxa"/>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proofErr w:type="spellStart"/>
            <w:r w:rsidRPr="00895A49">
              <w:rPr>
                <w:rFonts w:ascii="Times New Roman" w:hAnsi="Times New Roman" w:cs="Times New Roman"/>
                <w:sz w:val="24"/>
                <w:szCs w:val="24"/>
              </w:rPr>
              <w:t>Гаманков</w:t>
            </w:r>
            <w:proofErr w:type="spellEnd"/>
            <w:r w:rsidRPr="00895A49">
              <w:rPr>
                <w:rFonts w:ascii="Times New Roman" w:hAnsi="Times New Roman" w:cs="Times New Roman"/>
                <w:sz w:val="24"/>
                <w:szCs w:val="24"/>
              </w:rPr>
              <w:t xml:space="preserve"> В.І.</w:t>
            </w:r>
          </w:p>
        </w:tc>
        <w:tc>
          <w:tcPr>
            <w:tcW w:w="3332" w:type="dxa"/>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20</w:t>
            </w:r>
          </w:p>
        </w:tc>
      </w:tr>
      <w:tr w:rsidR="00895A49" w:rsidRPr="00895A49" w:rsidTr="00410EA4">
        <w:tc>
          <w:tcPr>
            <w:tcW w:w="6379" w:type="dxa"/>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proofErr w:type="spellStart"/>
            <w:r w:rsidRPr="00895A49">
              <w:rPr>
                <w:rFonts w:ascii="Times New Roman" w:hAnsi="Times New Roman" w:cs="Times New Roman"/>
                <w:sz w:val="24"/>
                <w:szCs w:val="24"/>
              </w:rPr>
              <w:t>Гладуш</w:t>
            </w:r>
            <w:proofErr w:type="spellEnd"/>
            <w:r w:rsidRPr="00895A49">
              <w:rPr>
                <w:rFonts w:ascii="Times New Roman" w:hAnsi="Times New Roman" w:cs="Times New Roman"/>
                <w:sz w:val="24"/>
                <w:szCs w:val="24"/>
              </w:rPr>
              <w:t xml:space="preserve"> Я.В.</w:t>
            </w:r>
          </w:p>
        </w:tc>
        <w:tc>
          <w:tcPr>
            <w:tcW w:w="3332" w:type="dxa"/>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18</w:t>
            </w:r>
          </w:p>
        </w:tc>
      </w:tr>
      <w:tr w:rsidR="00895A49" w:rsidRPr="00895A49" w:rsidTr="00410EA4">
        <w:tc>
          <w:tcPr>
            <w:tcW w:w="6379" w:type="dxa"/>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Гусєва І.О.</w:t>
            </w:r>
          </w:p>
        </w:tc>
        <w:tc>
          <w:tcPr>
            <w:tcW w:w="3332" w:type="dxa"/>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w:t>
            </w:r>
          </w:p>
        </w:tc>
      </w:tr>
      <w:tr w:rsidR="00895A49" w:rsidRPr="00895A49" w:rsidTr="00410EA4">
        <w:tc>
          <w:tcPr>
            <w:tcW w:w="6379" w:type="dxa"/>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Інші з часткою до 10%</w:t>
            </w:r>
          </w:p>
        </w:tc>
        <w:tc>
          <w:tcPr>
            <w:tcW w:w="3332" w:type="dxa"/>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7</w:t>
            </w:r>
          </w:p>
        </w:tc>
      </w:tr>
      <w:tr w:rsidR="00895A49" w:rsidRPr="00895A49" w:rsidTr="00410EA4">
        <w:tc>
          <w:tcPr>
            <w:tcW w:w="6379" w:type="dxa"/>
            <w:tcBorders>
              <w:top w:val="single" w:sz="4" w:space="0" w:color="auto"/>
            </w:tcBorders>
            <w:shd w:val="clear" w:color="auto" w:fill="auto"/>
          </w:tcPr>
          <w:p w:rsidR="00895A49" w:rsidRPr="00895A49" w:rsidRDefault="00895A49" w:rsidP="00895A49">
            <w:pPr>
              <w:widowControl w:val="0"/>
              <w:spacing w:after="0" w:line="240" w:lineRule="auto"/>
              <w:jc w:val="both"/>
              <w:rPr>
                <w:rFonts w:ascii="Times New Roman" w:hAnsi="Times New Roman" w:cs="Times New Roman"/>
                <w:b/>
                <w:sz w:val="24"/>
                <w:szCs w:val="24"/>
              </w:rPr>
            </w:pPr>
            <w:r w:rsidRPr="00895A49">
              <w:rPr>
                <w:rFonts w:ascii="Times New Roman" w:hAnsi="Times New Roman" w:cs="Times New Roman"/>
                <w:b/>
                <w:sz w:val="24"/>
                <w:szCs w:val="24"/>
              </w:rPr>
              <w:t>Всього</w:t>
            </w:r>
          </w:p>
        </w:tc>
        <w:tc>
          <w:tcPr>
            <w:tcW w:w="3332" w:type="dxa"/>
            <w:tcBorders>
              <w:top w:val="single" w:sz="4" w:space="0" w:color="auto"/>
            </w:tcBorders>
            <w:shd w:val="clear" w:color="auto" w:fill="auto"/>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100</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Кінцевим </w:t>
      </w:r>
      <w:proofErr w:type="spellStart"/>
      <w:r w:rsidRPr="00895A49">
        <w:rPr>
          <w:rFonts w:ascii="Times New Roman" w:hAnsi="Times New Roman" w:cs="Times New Roman"/>
          <w:sz w:val="24"/>
          <w:szCs w:val="24"/>
        </w:rPr>
        <w:t>бенефіціарним</w:t>
      </w:r>
      <w:proofErr w:type="spellEnd"/>
      <w:r w:rsidRPr="00895A49">
        <w:rPr>
          <w:rFonts w:ascii="Times New Roman" w:hAnsi="Times New Roman" w:cs="Times New Roman"/>
          <w:sz w:val="24"/>
          <w:szCs w:val="24"/>
        </w:rPr>
        <w:t xml:space="preserve"> власником є </w:t>
      </w:r>
      <w:proofErr w:type="spellStart"/>
      <w:r w:rsidRPr="00895A49">
        <w:rPr>
          <w:rFonts w:ascii="Times New Roman" w:hAnsi="Times New Roman" w:cs="Times New Roman"/>
          <w:sz w:val="24"/>
          <w:szCs w:val="24"/>
        </w:rPr>
        <w:t>Яцько</w:t>
      </w:r>
      <w:proofErr w:type="spellEnd"/>
      <w:r w:rsidRPr="00895A49">
        <w:rPr>
          <w:rFonts w:ascii="Times New Roman" w:hAnsi="Times New Roman" w:cs="Times New Roman"/>
          <w:sz w:val="24"/>
          <w:szCs w:val="24"/>
        </w:rPr>
        <w:t xml:space="preserve"> В.В.</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Фінансова звітність Компанії за рік, що закінчився 31.03.2022р., була затверджена керівництвом 08червня 20</w:t>
      </w:r>
      <w:r w:rsidRPr="00895A49">
        <w:rPr>
          <w:rFonts w:ascii="Times New Roman" w:hAnsi="Times New Roman" w:cs="Times New Roman"/>
          <w:sz w:val="24"/>
          <w:szCs w:val="24"/>
          <w:lang w:val="ru-RU"/>
        </w:rPr>
        <w:t>22</w:t>
      </w:r>
      <w:r w:rsidRPr="00895A49">
        <w:rPr>
          <w:rFonts w:ascii="Times New Roman" w:hAnsi="Times New Roman" w:cs="Times New Roman"/>
          <w:sz w:val="24"/>
          <w:szCs w:val="24"/>
        </w:rPr>
        <w:t xml:space="preserve"> року.</w:t>
      </w:r>
    </w:p>
    <w:p w:rsidR="00895A49" w:rsidRPr="00895A49" w:rsidRDefault="00895A49" w:rsidP="00895A49">
      <w:pPr>
        <w:pStyle w:val="ac"/>
        <w:widowControl w:val="0"/>
        <w:ind w:left="0"/>
        <w:contextualSpacing w:val="0"/>
        <w:rPr>
          <w:b/>
        </w:rPr>
      </w:pPr>
      <w:r w:rsidRPr="00895A49">
        <w:rPr>
          <w:b/>
        </w:rPr>
        <w:t>(б) Стан корпоративного управління</w:t>
      </w:r>
    </w:p>
    <w:p w:rsidR="00895A49" w:rsidRPr="00895A49" w:rsidRDefault="00895A49" w:rsidP="00895A49">
      <w:pPr>
        <w:pStyle w:val="Default"/>
        <w:widowControl w:val="0"/>
        <w:jc w:val="both"/>
        <w:rPr>
          <w:rFonts w:ascii="Times New Roman" w:hAnsi="Times New Roman" w:cs="Times New Roman"/>
          <w:color w:val="auto"/>
          <w:lang w:val="uk-UA"/>
        </w:rPr>
      </w:pPr>
      <w:r w:rsidRPr="00895A49">
        <w:rPr>
          <w:rFonts w:ascii="Times New Roman" w:hAnsi="Times New Roman" w:cs="Times New Roman"/>
          <w:color w:val="auto"/>
          <w:lang w:val="uk-UA"/>
        </w:rPr>
        <w:t xml:space="preserve">Відповідно до Статуту Компанія має такі керівні органи: </w:t>
      </w:r>
    </w:p>
    <w:p w:rsidR="00895A49" w:rsidRPr="00895A49" w:rsidRDefault="00895A49" w:rsidP="00895A49">
      <w:pPr>
        <w:pStyle w:val="Default"/>
        <w:widowControl w:val="0"/>
        <w:numPr>
          <w:ilvl w:val="0"/>
          <w:numId w:val="1"/>
        </w:numPr>
        <w:tabs>
          <w:tab w:val="left" w:pos="284"/>
        </w:tabs>
        <w:ind w:left="0" w:firstLine="0"/>
        <w:jc w:val="both"/>
        <w:rPr>
          <w:rFonts w:ascii="Times New Roman" w:hAnsi="Times New Roman" w:cs="Times New Roman"/>
          <w:color w:val="auto"/>
          <w:lang w:val="uk-UA"/>
        </w:rPr>
      </w:pPr>
      <w:r w:rsidRPr="00895A49">
        <w:rPr>
          <w:rFonts w:ascii="Times New Roman" w:hAnsi="Times New Roman" w:cs="Times New Roman"/>
          <w:color w:val="auto"/>
          <w:lang w:val="uk-UA"/>
        </w:rPr>
        <w:t xml:space="preserve">Загальні збори акціонерів; </w:t>
      </w:r>
    </w:p>
    <w:p w:rsidR="00895A49" w:rsidRPr="00895A49" w:rsidRDefault="00895A49" w:rsidP="00895A49">
      <w:pPr>
        <w:pStyle w:val="Default"/>
        <w:widowControl w:val="0"/>
        <w:numPr>
          <w:ilvl w:val="0"/>
          <w:numId w:val="1"/>
        </w:numPr>
        <w:tabs>
          <w:tab w:val="left" w:pos="284"/>
        </w:tabs>
        <w:ind w:left="0" w:firstLine="0"/>
        <w:jc w:val="both"/>
        <w:rPr>
          <w:rFonts w:ascii="Times New Roman" w:hAnsi="Times New Roman" w:cs="Times New Roman"/>
          <w:color w:val="auto"/>
          <w:lang w:val="uk-UA"/>
        </w:rPr>
      </w:pPr>
      <w:r w:rsidRPr="00895A49">
        <w:rPr>
          <w:rFonts w:ascii="Times New Roman" w:hAnsi="Times New Roman" w:cs="Times New Roman"/>
          <w:color w:val="auto"/>
          <w:lang w:val="uk-UA"/>
        </w:rPr>
        <w:t>Правління.</w:t>
      </w:r>
    </w:p>
    <w:p w:rsidR="00895A49" w:rsidRPr="00895A49" w:rsidRDefault="00895A49" w:rsidP="00895A49">
      <w:pPr>
        <w:pStyle w:val="Default"/>
        <w:widowControl w:val="0"/>
        <w:tabs>
          <w:tab w:val="left" w:pos="284"/>
        </w:tabs>
        <w:jc w:val="both"/>
        <w:rPr>
          <w:rFonts w:ascii="Times New Roman" w:hAnsi="Times New Roman" w:cs="Times New Roman"/>
          <w:color w:val="auto"/>
          <w:lang w:val="uk-UA"/>
        </w:rPr>
      </w:pPr>
      <w:r w:rsidRPr="00895A49">
        <w:rPr>
          <w:rFonts w:ascii="Times New Roman" w:hAnsi="Times New Roman" w:cs="Times New Roman"/>
          <w:color w:val="auto"/>
          <w:lang w:val="uk-UA"/>
        </w:rPr>
        <w:t xml:space="preserve">Для проведення перевірки фінансово-господарської діяльності Компанії Загальні збори  обирають ревізійну комісію (ревізора). </w:t>
      </w:r>
    </w:p>
    <w:p w:rsidR="00895A49" w:rsidRPr="00895A49" w:rsidRDefault="00895A49" w:rsidP="00895A49">
      <w:pPr>
        <w:pStyle w:val="Default"/>
        <w:widowControl w:val="0"/>
        <w:jc w:val="both"/>
        <w:rPr>
          <w:rFonts w:ascii="Times New Roman" w:hAnsi="Times New Roman" w:cs="Times New Roman"/>
          <w:color w:val="auto"/>
          <w:lang w:val="uk-UA"/>
        </w:rPr>
      </w:pPr>
      <w:r w:rsidRPr="00895A49">
        <w:rPr>
          <w:rFonts w:ascii="Times New Roman" w:hAnsi="Times New Roman" w:cs="Times New Roman"/>
          <w:color w:val="auto"/>
          <w:lang w:val="uk-UA"/>
        </w:rPr>
        <w:t xml:space="preserve">Вищим органом Компанії є Загальні збори акціонерів, які скликаються не рідше одного разу на </w:t>
      </w:r>
      <w:r w:rsidRPr="00895A49">
        <w:rPr>
          <w:rFonts w:ascii="Times New Roman" w:hAnsi="Times New Roman" w:cs="Times New Roman"/>
          <w:color w:val="auto"/>
          <w:lang w:val="uk-UA"/>
        </w:rPr>
        <w:lastRenderedPageBreak/>
        <w:t xml:space="preserve">рік. </w:t>
      </w:r>
    </w:p>
    <w:p w:rsidR="00895A49" w:rsidRPr="00895A49" w:rsidRDefault="00895A49" w:rsidP="00895A49">
      <w:pPr>
        <w:pStyle w:val="Default"/>
        <w:widowControl w:val="0"/>
        <w:jc w:val="both"/>
        <w:rPr>
          <w:rFonts w:ascii="Times New Roman" w:hAnsi="Times New Roman" w:cs="Times New Roman"/>
          <w:color w:val="auto"/>
          <w:lang w:val="uk-UA"/>
        </w:rPr>
      </w:pPr>
      <w:r w:rsidRPr="00895A49">
        <w:rPr>
          <w:rFonts w:ascii="Times New Roman" w:hAnsi="Times New Roman" w:cs="Times New Roman"/>
          <w:color w:val="auto"/>
          <w:lang w:val="uk-UA"/>
        </w:rPr>
        <w:t xml:space="preserve">Правління здійснює поточну діяльність Компанії у межах компетенції та прав, визначених установчими документами Компанії. </w:t>
      </w: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Впровадження функції внутрішнього аудиту вимагається законодавством України. З метою контролю та корпоративного управління, для забезпечення надійності та ефективності системи внутрішнього контролю в Компанії створено службу внутрішнього аудиту, а саме посада внутрішнього аудитора. Внутрішній аудитор підпорядковується і є підзвітним Правлінню та діє на підставі Положення про службу внутрішнього аудиту. Положення про службу внутрішнього аудиту Приватного акціонерного товариства «Страхові гарантії України» затверджено рішенням правління Приватного акціонерного товариства «Страхові гарантії України» від 04 листопада 2013 року, протокол № 8/13.</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За результатами перевірок поточної фінансової діяльності службою внутрішнього аудиту порушень у дотриманні законів, нормативно-правових актів України та рішень органів управління Компанії не було.</w:t>
      </w:r>
    </w:p>
    <w:p w:rsidR="00895A49" w:rsidRPr="00895A49" w:rsidRDefault="00895A49" w:rsidP="00895A49">
      <w:pPr>
        <w:pStyle w:val="ac"/>
        <w:widowControl w:val="0"/>
        <w:ind w:left="0"/>
        <w:contextualSpacing w:val="0"/>
        <w:rPr>
          <w:b/>
        </w:rPr>
      </w:pPr>
      <w:r w:rsidRPr="00895A49">
        <w:rPr>
          <w:b/>
        </w:rPr>
        <w:t xml:space="preserve">(в) Умови здійснення господарської діяльності Компанії </w:t>
      </w:r>
    </w:p>
    <w:p w:rsidR="00895A49" w:rsidRPr="00895A49" w:rsidRDefault="00895A49" w:rsidP="00895A49">
      <w:pPr>
        <w:pStyle w:val="ac"/>
        <w:widowControl w:val="0"/>
        <w:ind w:left="0"/>
        <w:contextualSpacing w:val="0"/>
        <w:rPr>
          <w:b/>
        </w:rPr>
      </w:pPr>
    </w:p>
    <w:p w:rsidR="00895A49" w:rsidRPr="00895A49" w:rsidRDefault="00895A49" w:rsidP="00895A49">
      <w:pPr>
        <w:pStyle w:val="ac"/>
        <w:widowControl w:val="0"/>
        <w:ind w:left="0"/>
        <w:contextualSpacing w:val="0"/>
        <w:jc w:val="both"/>
        <w:rPr>
          <w:color w:val="000000"/>
          <w:shd w:val="clear" w:color="auto" w:fill="F8F8F8"/>
        </w:rPr>
      </w:pPr>
      <w:r w:rsidRPr="00895A49">
        <w:rPr>
          <w:color w:val="000000"/>
          <w:shd w:val="clear" w:color="auto" w:fill="F8F8F8"/>
        </w:rPr>
        <w:t>З 24 лютого 2022 року на всій території України було введено воєнний стан внаслідок військової агресії Російської Федерації проти України. Введення воєнного стану призвело до змін у всіх сферах життя та торкнулося кожного з нас. </w:t>
      </w:r>
    </w:p>
    <w:p w:rsidR="00895A49" w:rsidRPr="00895A49" w:rsidRDefault="00895A49" w:rsidP="00895A49">
      <w:pPr>
        <w:widowControl w:val="0"/>
        <w:shd w:val="clear" w:color="auto" w:fill="FFFFFF"/>
        <w:spacing w:after="0" w:line="240" w:lineRule="auto"/>
        <w:jc w:val="both"/>
        <w:rPr>
          <w:rFonts w:ascii="Times New Roman" w:hAnsi="Times New Roman" w:cs="Times New Roman"/>
          <w:color w:val="222222"/>
          <w:sz w:val="24"/>
          <w:szCs w:val="24"/>
        </w:rPr>
      </w:pPr>
      <w:r w:rsidRPr="00895A49">
        <w:rPr>
          <w:rFonts w:ascii="Times New Roman" w:hAnsi="Times New Roman" w:cs="Times New Roman"/>
          <w:color w:val="222222"/>
          <w:sz w:val="24"/>
          <w:szCs w:val="24"/>
        </w:rPr>
        <w:t>Із початку повномасштабного нападу Росії економіка та фінансова система переведені з ринкових засад управління на управління в «ручному» режимі для реагування на безпрецедентні виклики. Цей підхід спрацював. Він дав змогу вгамувати паніку та стабілізувати роботу. Проте за поступового відновлення економіки негативні та дестабілізуючі ефекти від «ручного» управління фінансовою системою та величезного </w:t>
      </w:r>
      <w:hyperlink r:id="rId5" w:tgtFrame="_blank" w:history="1">
        <w:r w:rsidRPr="00895A49">
          <w:rPr>
            <w:rFonts w:ascii="Times New Roman" w:hAnsi="Times New Roman" w:cs="Times New Roman"/>
            <w:bCs/>
            <w:sz w:val="24"/>
            <w:szCs w:val="24"/>
          </w:rPr>
          <w:t>дефіциту бюджету</w:t>
        </w:r>
      </w:hyperlink>
      <w:r w:rsidRPr="00895A49">
        <w:rPr>
          <w:rFonts w:ascii="Times New Roman" w:hAnsi="Times New Roman" w:cs="Times New Roman"/>
          <w:color w:val="222222"/>
          <w:sz w:val="24"/>
          <w:szCs w:val="24"/>
        </w:rPr>
        <w:t> стають відчутнішими. Це диктує наступний етап у фінансово-економічній політиці — перехід до прийнятного дефіциту бюджету з ринковими джерелами фінансування. Він дасть можливість створити передумови для повернення до традиційних монетарних інструментів і ринкових засад функціонування валютної системи.</w:t>
      </w:r>
    </w:p>
    <w:p w:rsidR="00895A49" w:rsidRPr="00895A49" w:rsidRDefault="00895A49" w:rsidP="00895A49">
      <w:pPr>
        <w:pStyle w:val="af6"/>
        <w:widowControl w:val="0"/>
        <w:shd w:val="clear" w:color="auto" w:fill="FFFFFF"/>
        <w:spacing w:before="0" w:beforeAutospacing="0" w:after="0" w:afterAutospacing="0"/>
        <w:jc w:val="both"/>
        <w:rPr>
          <w:color w:val="1C1C1C"/>
          <w:lang w:val="uk-UA"/>
        </w:rPr>
      </w:pPr>
      <w:r w:rsidRPr="00895A49">
        <w:rPr>
          <w:color w:val="1C1C1C"/>
          <w:lang w:val="uk-UA"/>
        </w:rPr>
        <w:t>Офіційний курс гривні зафіксовано на рівні 29,25 та запроваджено низку тимчасових валютних обмежень. Так, уповноваженим установам заборонено здійснювати торгівлю валютними цінностями, крім операцій з купівлі іноземної валюти для придбання товарів критичного імпорту за переліком, затвердженим Кабінетом міністрів України, а також валютних операцій для проведення мобілізаційних й інших заходів у сферах забезпечення національної безпеки та оборони.</w:t>
      </w:r>
    </w:p>
    <w:p w:rsidR="00895A49" w:rsidRPr="00895A49" w:rsidRDefault="00895A49" w:rsidP="00895A49">
      <w:pPr>
        <w:pStyle w:val="af6"/>
        <w:widowControl w:val="0"/>
        <w:shd w:val="clear" w:color="auto" w:fill="FFFFFF"/>
        <w:spacing w:before="0" w:beforeAutospacing="0" w:after="0" w:afterAutospacing="0"/>
        <w:jc w:val="both"/>
        <w:rPr>
          <w:color w:val="1C1C1C"/>
          <w:lang w:val="uk-UA"/>
        </w:rPr>
      </w:pPr>
      <w:r w:rsidRPr="00895A49">
        <w:rPr>
          <w:color w:val="1C1C1C"/>
          <w:lang w:val="uk-UA"/>
        </w:rPr>
        <w:t>Національний банк ввів заборону на здійснення транскордонних валютних платежів. Винятком до відповідної заборони є розрахунки та отримання готівки з використанням платіжних карток за кордоном та низка інших операцій.</w:t>
      </w:r>
    </w:p>
    <w:p w:rsidR="00895A49" w:rsidRPr="00895A49" w:rsidRDefault="00895A49" w:rsidP="00895A49">
      <w:pPr>
        <w:pStyle w:val="af6"/>
        <w:widowControl w:val="0"/>
        <w:shd w:val="clear" w:color="auto" w:fill="FFFFFF"/>
        <w:spacing w:before="0" w:beforeAutospacing="0" w:after="0" w:afterAutospacing="0"/>
        <w:jc w:val="both"/>
        <w:rPr>
          <w:color w:val="1C1C1C"/>
          <w:lang w:val="uk-UA"/>
        </w:rPr>
      </w:pPr>
      <w:r w:rsidRPr="00895A49">
        <w:rPr>
          <w:color w:val="1C1C1C"/>
          <w:lang w:val="uk-UA"/>
        </w:rPr>
        <w:t>Національний банк повернув вимогу щодо надання громадянами підтвердних документів банків під час переміщення валютних цінностей за межі України у сумі, що перевищує 10 тис. євро (в еквіваленті), зокрема документи про зняття готівки з власних рахунків або щодо придбання банківських металів.</w:t>
      </w:r>
    </w:p>
    <w:p w:rsidR="00895A49" w:rsidRPr="00895A49" w:rsidRDefault="00895A49" w:rsidP="00895A49">
      <w:pPr>
        <w:pStyle w:val="af6"/>
        <w:widowControl w:val="0"/>
        <w:shd w:val="clear" w:color="auto" w:fill="FFFFFF"/>
        <w:spacing w:before="0" w:beforeAutospacing="0" w:after="0" w:afterAutospacing="0"/>
        <w:jc w:val="both"/>
        <w:textAlignment w:val="baseline"/>
        <w:rPr>
          <w:color w:val="000000"/>
          <w:lang w:val="uk-UA"/>
        </w:rPr>
      </w:pPr>
      <w:r w:rsidRPr="00895A49">
        <w:rPr>
          <w:rStyle w:val="buk"/>
          <w:color w:val="000000"/>
          <w:bdr w:val="none" w:sz="0" w:space="0" w:color="auto" w:frame="1"/>
          <w:lang w:val="uk-UA"/>
        </w:rPr>
        <w:t>О</w:t>
      </w:r>
      <w:r w:rsidRPr="00895A49">
        <w:rPr>
          <w:color w:val="000000"/>
          <w:bdr w:val="none" w:sz="0" w:space="0" w:color="auto" w:frame="1"/>
          <w:lang w:val="uk-UA"/>
        </w:rPr>
        <w:t>станнім часом значна увага приділяється питанням післявоєнної відбудови України, в тому числі джерелам ресурсів, які можуть бути задіяні в цьому процесі.</w:t>
      </w:r>
    </w:p>
    <w:p w:rsidR="00895A49" w:rsidRPr="00895A49" w:rsidRDefault="00895A49" w:rsidP="00895A49">
      <w:pPr>
        <w:pStyle w:val="af6"/>
        <w:widowControl w:val="0"/>
        <w:shd w:val="clear" w:color="auto" w:fill="FFFFFF"/>
        <w:spacing w:before="0" w:beforeAutospacing="0" w:after="0" w:afterAutospacing="0"/>
        <w:jc w:val="both"/>
        <w:textAlignment w:val="baseline"/>
        <w:rPr>
          <w:color w:val="000000"/>
          <w:lang w:val="uk-UA"/>
        </w:rPr>
      </w:pPr>
      <w:r w:rsidRPr="00895A49">
        <w:rPr>
          <w:color w:val="000000"/>
          <w:bdr w:val="none" w:sz="0" w:space="0" w:color="auto" w:frame="1"/>
          <w:lang w:val="uk-UA"/>
        </w:rPr>
        <w:t>За оцінками національних та міжнародних експертних інститутів, втрати ВВП України у 2022 році внаслідок військової агресії РФ можуть становити від 30% до 50%. </w:t>
      </w:r>
    </w:p>
    <w:p w:rsidR="00895A49" w:rsidRPr="00895A49" w:rsidRDefault="00895A49" w:rsidP="00895A49">
      <w:pPr>
        <w:pStyle w:val="af6"/>
        <w:widowControl w:val="0"/>
        <w:shd w:val="clear" w:color="auto" w:fill="FFFFFF"/>
        <w:spacing w:before="0" w:beforeAutospacing="0" w:after="0" w:afterAutospacing="0"/>
        <w:jc w:val="both"/>
        <w:textAlignment w:val="baseline"/>
        <w:rPr>
          <w:color w:val="000000"/>
          <w:lang w:val="uk-UA"/>
        </w:rPr>
      </w:pPr>
      <w:r w:rsidRPr="00895A49">
        <w:rPr>
          <w:color w:val="000000"/>
          <w:bdr w:val="none" w:sz="0" w:space="0" w:color="auto" w:frame="1"/>
          <w:lang w:val="uk-UA"/>
        </w:rPr>
        <w:t xml:space="preserve">В абсолютних цифрах у цінах 2021 року це відповідатиме 1,6-2,7 трильйонів гривень (56-92 </w:t>
      </w:r>
      <w:proofErr w:type="spellStart"/>
      <w:r w:rsidRPr="00895A49">
        <w:rPr>
          <w:color w:val="000000"/>
          <w:bdr w:val="none" w:sz="0" w:space="0" w:color="auto" w:frame="1"/>
          <w:lang w:val="uk-UA"/>
        </w:rPr>
        <w:t>млрд</w:t>
      </w:r>
      <w:proofErr w:type="spellEnd"/>
      <w:r w:rsidRPr="00895A49">
        <w:rPr>
          <w:color w:val="000000"/>
          <w:bdr w:val="none" w:sz="0" w:space="0" w:color="auto" w:frame="1"/>
          <w:lang w:val="uk-UA"/>
        </w:rPr>
        <w:t xml:space="preserve"> доларів США) "невиробленої" продукції упродовж року.</w:t>
      </w:r>
    </w:p>
    <w:p w:rsidR="00895A49" w:rsidRPr="00895A49" w:rsidRDefault="00895A49" w:rsidP="00895A49">
      <w:pPr>
        <w:pStyle w:val="af6"/>
        <w:widowControl w:val="0"/>
        <w:shd w:val="clear" w:color="auto" w:fill="FFFFFF"/>
        <w:spacing w:before="0" w:beforeAutospacing="0" w:after="0" w:afterAutospacing="0"/>
        <w:jc w:val="both"/>
        <w:textAlignment w:val="baseline"/>
        <w:rPr>
          <w:color w:val="000000"/>
          <w:lang w:val="uk-UA"/>
        </w:rPr>
      </w:pPr>
      <w:r w:rsidRPr="00895A49">
        <w:rPr>
          <w:color w:val="000000"/>
          <w:bdr w:val="none" w:sz="0" w:space="0" w:color="auto" w:frame="1"/>
          <w:lang w:val="uk-UA"/>
        </w:rPr>
        <w:t xml:space="preserve">Окрім того, матеріальні збитки внаслідок масштабних руйнувань інфраструктурних та цивільних об’єктів оцінюють від 500 до 1000 </w:t>
      </w:r>
      <w:proofErr w:type="spellStart"/>
      <w:r w:rsidRPr="00895A49">
        <w:rPr>
          <w:color w:val="000000"/>
          <w:bdr w:val="none" w:sz="0" w:space="0" w:color="auto" w:frame="1"/>
          <w:lang w:val="uk-UA"/>
        </w:rPr>
        <w:t>млрд</w:t>
      </w:r>
      <w:proofErr w:type="spellEnd"/>
      <w:r w:rsidRPr="00895A49">
        <w:rPr>
          <w:color w:val="000000"/>
          <w:bdr w:val="none" w:sz="0" w:space="0" w:color="auto" w:frame="1"/>
          <w:lang w:val="uk-UA"/>
        </w:rPr>
        <w:t xml:space="preserve"> доларів США.</w:t>
      </w:r>
    </w:p>
    <w:p w:rsidR="00895A49" w:rsidRPr="00895A49" w:rsidRDefault="00895A49" w:rsidP="00895A49">
      <w:pPr>
        <w:pStyle w:val="af6"/>
        <w:widowControl w:val="0"/>
        <w:shd w:val="clear" w:color="auto" w:fill="FFFFFF"/>
        <w:spacing w:before="0" w:beforeAutospacing="0" w:after="0" w:afterAutospacing="0"/>
        <w:jc w:val="both"/>
        <w:textAlignment w:val="baseline"/>
        <w:rPr>
          <w:color w:val="000000"/>
          <w:lang w:val="uk-UA"/>
        </w:rPr>
      </w:pPr>
      <w:r w:rsidRPr="00895A49">
        <w:rPr>
          <w:color w:val="000000"/>
          <w:bdr w:val="none" w:sz="0" w:space="0" w:color="auto" w:frame="1"/>
          <w:lang w:val="uk-UA"/>
        </w:rPr>
        <w:t xml:space="preserve">Відновлення ВВП України до </w:t>
      </w:r>
      <w:proofErr w:type="spellStart"/>
      <w:r w:rsidRPr="00895A49">
        <w:rPr>
          <w:color w:val="000000"/>
          <w:bdr w:val="none" w:sz="0" w:space="0" w:color="auto" w:frame="1"/>
          <w:lang w:val="uk-UA"/>
        </w:rPr>
        <w:t>докризового</w:t>
      </w:r>
      <w:proofErr w:type="spellEnd"/>
      <w:r w:rsidRPr="00895A49">
        <w:rPr>
          <w:color w:val="000000"/>
          <w:bdr w:val="none" w:sz="0" w:space="0" w:color="auto" w:frame="1"/>
          <w:lang w:val="uk-UA"/>
        </w:rPr>
        <w:t xml:space="preserve"> рівня потребуватиме залучення міжнародного фінансування фондів з відбудови економіки України та активізації фіскального та монетарного </w:t>
      </w:r>
      <w:r w:rsidRPr="00895A49">
        <w:rPr>
          <w:color w:val="000000"/>
          <w:bdr w:val="none" w:sz="0" w:space="0" w:color="auto" w:frame="1"/>
          <w:lang w:val="uk-UA"/>
        </w:rPr>
        <w:lastRenderedPageBreak/>
        <w:t>інструментарію з метою відновлення інвестиційних процесів в Україні. </w:t>
      </w:r>
    </w:p>
    <w:p w:rsidR="00895A49" w:rsidRPr="00895A49" w:rsidRDefault="00895A49" w:rsidP="00895A49">
      <w:pPr>
        <w:pStyle w:val="ac"/>
        <w:widowControl w:val="0"/>
        <w:ind w:left="0"/>
        <w:contextualSpacing w:val="0"/>
        <w:jc w:val="both"/>
      </w:pPr>
      <w:r w:rsidRPr="00895A49">
        <w:t>Хоча управлінський персонал вважає, що він вживає належні заходи на підтримку стабільної діяльності Компанії, необхідні за існуючих обставин, подальша нестабільність умов здійснення діяльності може спричинити негативний вплив на результати діяльності та фінансовий стан Компанії, характер та наслідки якого на поточний момент визначити неможливо. Ця фінансова звітність відображає поточну оцінку управлінського персоналу щодо впливу умов здійснення діяльності в Україні на операційну діяльність та фінансовий стан Компанії. Майбутні умови здійснення діяльності можуть відрізнятися від оцінки управлінського персоналу.</w:t>
      </w:r>
    </w:p>
    <w:p w:rsidR="00895A49" w:rsidRPr="00895A49" w:rsidRDefault="00895A49" w:rsidP="00895A49">
      <w:pPr>
        <w:pStyle w:val="ac"/>
        <w:widowControl w:val="0"/>
        <w:ind w:left="0"/>
        <w:contextualSpacing w:val="0"/>
        <w:jc w:val="both"/>
        <w:rPr>
          <w:b/>
        </w:rPr>
      </w:pPr>
    </w:p>
    <w:p w:rsidR="00895A49" w:rsidRPr="00895A49" w:rsidRDefault="00895A49" w:rsidP="00895A49">
      <w:pPr>
        <w:pStyle w:val="ac"/>
        <w:widowControl w:val="0"/>
        <w:ind w:left="0"/>
        <w:contextualSpacing w:val="0"/>
        <w:jc w:val="both"/>
        <w:rPr>
          <w:b/>
        </w:rPr>
      </w:pPr>
      <w:r w:rsidRPr="00895A49">
        <w:rPr>
          <w:b/>
        </w:rPr>
        <w:t xml:space="preserve">2. </w:t>
      </w:r>
      <w:r w:rsidRPr="00895A49">
        <w:rPr>
          <w:rStyle w:val="rvts11"/>
          <w:b/>
        </w:rPr>
        <w:t xml:space="preserve">Концептуальна основа фінансової звітності </w:t>
      </w:r>
    </w:p>
    <w:p w:rsidR="00895A49" w:rsidRPr="00895A49" w:rsidRDefault="00895A49" w:rsidP="00895A49">
      <w:pPr>
        <w:widowControl w:val="0"/>
        <w:spacing w:after="0" w:line="240" w:lineRule="auto"/>
        <w:jc w:val="both"/>
        <w:rPr>
          <w:rFonts w:ascii="Times New Roman" w:hAnsi="Times New Roman" w:cs="Times New Roman"/>
          <w:b/>
          <w:sz w:val="24"/>
          <w:szCs w:val="24"/>
        </w:rPr>
      </w:pPr>
      <w:r w:rsidRPr="00895A49">
        <w:rPr>
          <w:rFonts w:ascii="Times New Roman" w:hAnsi="Times New Roman" w:cs="Times New Roman"/>
          <w:b/>
          <w:sz w:val="24"/>
          <w:szCs w:val="24"/>
        </w:rPr>
        <w:t>(а) Підтвердження відповідності</w:t>
      </w:r>
    </w:p>
    <w:p w:rsidR="00895A49" w:rsidRPr="00895A49" w:rsidRDefault="00895A49" w:rsidP="00895A49">
      <w:pPr>
        <w:pStyle w:val="af7"/>
        <w:widowControl w:val="0"/>
        <w:spacing w:after="0"/>
        <w:jc w:val="both"/>
        <w:rPr>
          <w:sz w:val="24"/>
          <w:szCs w:val="24"/>
        </w:rPr>
      </w:pPr>
      <w:r w:rsidRPr="00895A49">
        <w:rPr>
          <w:sz w:val="24"/>
          <w:szCs w:val="24"/>
        </w:rPr>
        <w:t>Фінансова звітність була складена відповідно до Міжнародних стандартів фінансової звітності (МСФЗ), виданими Радою з міжнародних стандартів бухгалтерського обліку (РМСБО).</w:t>
      </w: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b/>
          <w:sz w:val="24"/>
          <w:szCs w:val="24"/>
        </w:rPr>
      </w:pPr>
      <w:r w:rsidRPr="00895A49">
        <w:rPr>
          <w:rFonts w:ascii="Times New Roman" w:hAnsi="Times New Roman" w:cs="Times New Roman"/>
          <w:b/>
          <w:sz w:val="24"/>
          <w:szCs w:val="24"/>
        </w:rPr>
        <w:t>(б) Основа для облікових оцінок</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Фінансова звітність була підготовлена на основі історичної вартості, за винятком фінансових інструментів, оцінюваних за справедливою або амортизованою вартістю, зміни якої відображаються в складі прибутку чи збитку за період,  та оцінки нерухомості та транспорту, що відображається по переоціненій вартості.</w:t>
      </w: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 xml:space="preserve"> (в) Безперервність діяльності </w:t>
      </w:r>
    </w:p>
    <w:p w:rsidR="00895A49" w:rsidRPr="00895A49" w:rsidRDefault="00895A49" w:rsidP="00895A49">
      <w:pPr>
        <w:widowControl w:val="0"/>
        <w:spacing w:after="0" w:line="240" w:lineRule="auto"/>
        <w:jc w:val="both"/>
        <w:rPr>
          <w:rFonts w:ascii="Times New Roman" w:hAnsi="Times New Roman" w:cs="Times New Roman"/>
          <w:sz w:val="24"/>
          <w:szCs w:val="24"/>
          <w:lang w:eastAsia="en-US"/>
        </w:rPr>
      </w:pPr>
      <w:r w:rsidRPr="00895A49">
        <w:rPr>
          <w:rFonts w:ascii="Times New Roman" w:hAnsi="Times New Roman" w:cs="Times New Roman"/>
          <w:sz w:val="24"/>
          <w:szCs w:val="24"/>
        </w:rPr>
        <w:t xml:space="preserve">Ця фінансова звітність підготовлена на основі принципу безперервності діяльності. </w:t>
      </w:r>
      <w:r w:rsidRPr="00895A49">
        <w:rPr>
          <w:rFonts w:ascii="Times New Roman" w:hAnsi="Times New Roman" w:cs="Times New Roman"/>
          <w:sz w:val="24"/>
          <w:szCs w:val="24"/>
          <w:lang w:eastAsia="en-US"/>
        </w:rPr>
        <w:t>При підготовці проміжної фінансової звітності на 31 березня 2022 року керівництвом Компанії було оцінено здатність Компанії продовжувати свою діяльність в майбутньому з врахуванням військових дій на території України, що тривають та вже спричинили та продовжують спричинювати значні негативні наслідки, як для економіки України в цілому, так і для Компанії, зокрема, як зазначено у Примітці 12.</w:t>
      </w:r>
    </w:p>
    <w:p w:rsidR="00895A49" w:rsidRPr="00895A49" w:rsidRDefault="00895A49" w:rsidP="00895A49">
      <w:pPr>
        <w:pStyle w:val="af7"/>
        <w:widowControl w:val="0"/>
        <w:spacing w:after="0"/>
        <w:jc w:val="both"/>
        <w:rPr>
          <w:sz w:val="24"/>
          <w:szCs w:val="24"/>
          <w:lang w:eastAsia="en-US"/>
        </w:rPr>
      </w:pPr>
      <w:r w:rsidRPr="00895A49">
        <w:rPr>
          <w:sz w:val="24"/>
          <w:szCs w:val="24"/>
        </w:rPr>
        <w:t>24 лютого 2022 року російська федерація почала своє вторгнення в Україну з використанням прямої військової сили, що призвело до інтенсивної військової агресії проти Україні, яка на дату затвердження цієї фінансової звітності все ще триває. Війна продовжує створювати загрозу для господарської діяльності Компанії та є суттєвою невизначеністю щодо здатності Компанії продовжувати свою діяльність як безперервну діяльність.</w:t>
      </w:r>
    </w:p>
    <w:p w:rsidR="00895A49" w:rsidRPr="00895A49" w:rsidRDefault="00895A49" w:rsidP="00895A49">
      <w:pPr>
        <w:pStyle w:val="af7"/>
        <w:widowControl w:val="0"/>
        <w:spacing w:after="0"/>
        <w:jc w:val="both"/>
        <w:rPr>
          <w:sz w:val="24"/>
          <w:szCs w:val="24"/>
        </w:rPr>
      </w:pPr>
      <w:r w:rsidRPr="00895A49">
        <w:rPr>
          <w:sz w:val="24"/>
          <w:szCs w:val="24"/>
        </w:rPr>
        <w:t xml:space="preserve">На дату затвердження цієї фінансової звітності Компанія оцінила, що суттєва невизначеність все ще залишається, оскільки деякі з невизначеностей знаходяться поза контролем керівництва Компанії, а тривалість і вплив війни на даний момент неможливо передбачити. </w:t>
      </w:r>
    </w:p>
    <w:p w:rsidR="00895A49" w:rsidRPr="00895A49" w:rsidRDefault="00895A49" w:rsidP="00895A49">
      <w:pPr>
        <w:pStyle w:val="af7"/>
        <w:widowControl w:val="0"/>
        <w:spacing w:after="0"/>
        <w:jc w:val="both"/>
        <w:rPr>
          <w:sz w:val="24"/>
          <w:szCs w:val="24"/>
        </w:rPr>
      </w:pPr>
      <w:r w:rsidRPr="00895A49">
        <w:rPr>
          <w:sz w:val="24"/>
          <w:szCs w:val="24"/>
        </w:rPr>
        <w:t>Вплив агресивних дій російської федерації на економіку України  багатогранний. Якісь із можливих наслідків будуть подолані порівняно швидко, для вирішення інших можуть знадобитися роки та сотні мільярдів доларів інвестицій. Наразі очевидним є одне – наслідки війни російської федерації проти України відчуватимуться практично в усьому світі.</w:t>
      </w:r>
    </w:p>
    <w:p w:rsidR="00895A49" w:rsidRPr="00895A49" w:rsidRDefault="00895A49" w:rsidP="00895A49">
      <w:pPr>
        <w:pStyle w:val="af7"/>
        <w:widowControl w:val="0"/>
        <w:spacing w:after="0"/>
        <w:jc w:val="both"/>
        <w:rPr>
          <w:sz w:val="24"/>
          <w:szCs w:val="24"/>
        </w:rPr>
      </w:pPr>
      <w:r w:rsidRPr="00895A49">
        <w:rPr>
          <w:sz w:val="24"/>
          <w:szCs w:val="24"/>
        </w:rPr>
        <w:t>Всі ці події вплинули як на діяльність страхового ринку в цілому, так і на діяльність Компанії. Зокрема, основною діяльністю Компанії є забезпечення клієнтів військово-промислового комплексу України страховим захистом під час перевезення вантажів військового та подвійного призначення. З початком військової агресії перевезення вантажів військового призначення, що потребують страхування, майже припинено, обсяг послуг значно скорочено.</w:t>
      </w:r>
    </w:p>
    <w:p w:rsidR="00895A49" w:rsidRPr="00895A49" w:rsidRDefault="00895A49" w:rsidP="00895A49">
      <w:pPr>
        <w:pStyle w:val="af7"/>
        <w:widowControl w:val="0"/>
        <w:spacing w:after="0"/>
        <w:jc w:val="both"/>
        <w:rPr>
          <w:sz w:val="24"/>
          <w:szCs w:val="24"/>
        </w:rPr>
      </w:pPr>
      <w:r w:rsidRPr="00895A49">
        <w:rPr>
          <w:sz w:val="24"/>
          <w:szCs w:val="24"/>
        </w:rPr>
        <w:t xml:space="preserve">При цьому, керівництво Компанії вважає, що існують достатні підстави для підготовки цієї фінансової звітності на основі принципу безперервності діяльності. </w:t>
      </w:r>
    </w:p>
    <w:p w:rsidR="00895A49" w:rsidRPr="00895A49" w:rsidRDefault="00895A49" w:rsidP="00895A49">
      <w:pPr>
        <w:widowControl w:val="0"/>
        <w:spacing w:after="0" w:line="240" w:lineRule="auto"/>
        <w:jc w:val="both"/>
        <w:rPr>
          <w:rFonts w:ascii="Times New Roman" w:hAnsi="Times New Roman" w:cs="Times New Roman"/>
          <w:sz w:val="24"/>
          <w:szCs w:val="24"/>
          <w:lang w:eastAsia="en-US"/>
        </w:rPr>
      </w:pPr>
      <w:r w:rsidRPr="00895A49">
        <w:rPr>
          <w:rFonts w:ascii="Times New Roman" w:hAnsi="Times New Roman" w:cs="Times New Roman"/>
          <w:sz w:val="24"/>
          <w:szCs w:val="24"/>
          <w:lang w:eastAsia="en-US"/>
        </w:rPr>
        <w:t xml:space="preserve">Разом з тим, існує суттєва невизначеність, пов’язана з непередбачуваним наразі впливом військових дій на території України, що тривають, на припущення, що лежать в основі оцінок керівництва, що може поставити під сумнів здатність Компанії продовжувати свою діяльність на безперервній основі, і, отже, Компанія не зможе реалізувати свої активи та погасити зобов’язання за звичайного перебігу господарської діяльності. Це призведе до необхідності коригування сум у </w:t>
      </w:r>
      <w:r w:rsidRPr="00895A49">
        <w:rPr>
          <w:rFonts w:ascii="Times New Roman" w:hAnsi="Times New Roman" w:cs="Times New Roman"/>
          <w:sz w:val="24"/>
          <w:szCs w:val="24"/>
          <w:lang w:eastAsia="en-US"/>
        </w:rPr>
        <w:lastRenderedPageBreak/>
        <w:t>звіті про фінансовий стан у майбутньому, щоб відобразити ці обставини, які можуть суттєво змінити оцінку та класифікацію певних показників, що містяться у фінансовій звітності.</w:t>
      </w:r>
    </w:p>
    <w:p w:rsidR="00895A49" w:rsidRPr="00895A49" w:rsidRDefault="00895A49" w:rsidP="00895A49">
      <w:pPr>
        <w:widowControl w:val="0"/>
        <w:spacing w:after="0" w:line="240" w:lineRule="auto"/>
        <w:rPr>
          <w:rFonts w:ascii="Times New Roman" w:hAnsi="Times New Roman" w:cs="Times New Roman"/>
          <w:b/>
          <w:sz w:val="24"/>
          <w:szCs w:val="24"/>
        </w:rPr>
      </w:pPr>
    </w:p>
    <w:p w:rsidR="00895A49" w:rsidRPr="00895A49" w:rsidRDefault="00895A49" w:rsidP="00895A49">
      <w:pPr>
        <w:widowControl w:val="0"/>
        <w:spacing w:after="0" w:line="240" w:lineRule="auto"/>
        <w:jc w:val="both"/>
        <w:rPr>
          <w:rFonts w:ascii="Times New Roman" w:hAnsi="Times New Roman" w:cs="Times New Roman"/>
          <w:b/>
          <w:sz w:val="24"/>
          <w:szCs w:val="24"/>
        </w:rPr>
      </w:pPr>
      <w:r w:rsidRPr="00895A49">
        <w:rPr>
          <w:rFonts w:ascii="Times New Roman" w:hAnsi="Times New Roman" w:cs="Times New Roman"/>
          <w:b/>
          <w:i/>
          <w:sz w:val="24"/>
          <w:szCs w:val="24"/>
        </w:rPr>
        <w:t>(</w:t>
      </w:r>
      <w:r w:rsidRPr="00895A49">
        <w:rPr>
          <w:rFonts w:ascii="Times New Roman" w:hAnsi="Times New Roman" w:cs="Times New Roman"/>
          <w:b/>
          <w:sz w:val="24"/>
          <w:szCs w:val="24"/>
        </w:rPr>
        <w:t>г) Функціональна валюта та валюта подання</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Фінансова звітність подана в національній валюті України – гривні. Всі суми у фінансових звітах та примітках наведені в тисячах гривень, якщо не зазначено інше. </w:t>
      </w: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b/>
          <w:sz w:val="24"/>
          <w:szCs w:val="24"/>
        </w:rPr>
      </w:pPr>
      <w:r w:rsidRPr="00895A49">
        <w:rPr>
          <w:rFonts w:ascii="Times New Roman" w:hAnsi="Times New Roman" w:cs="Times New Roman"/>
          <w:b/>
          <w:sz w:val="24"/>
          <w:szCs w:val="24"/>
        </w:rPr>
        <w:t>(д) Використання оцінок і суджень</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Складання фінансової звітності згідно МСФЗ вимагає формування суджень, оцінок та припущень, які впливають на застосування принципів облікової політики, на суми активів та зобов’язань, доходів та витрат, відображених у звітності. Фактичні результати можуть відрізнятися від цих оцінок.</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Всі оцінки та припущення, які вимагаються згідно з МСФЗ, являють собою найбільш оптимальні оцінки, здійснені згідно з застосовними стандартами. Оцінки та судження визначаються постійно, ґрунтуються на минулому досвіді та інших чинниках, включаючи очікування стосовно майбутніх подій, і вважаються доцільними в умовах, що склалися. Зміни бухгалтерських оцінок визнаються в тому періоді, в якому вони відбуваються, а також в інших майбутніх періодах, якщо зміна стосується майбутніх періодів.</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Нижче наведені основні припущення стосовно майбутнього та інші основні джерела невизначеності оцінок на кінець звітного періоду, щодо яких існує значний ризик, що вони стануть причиною суттєвих коригувань балансової вартості активів та зобов’язань протягом наступного фінансового року:</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а) Страхові резерви</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При розрахунку страхових технічних резервів та тестуванні їх на предмет адекватності Компанія використовує відповідні </w:t>
      </w:r>
      <w:proofErr w:type="spellStart"/>
      <w:r w:rsidRPr="00895A49">
        <w:rPr>
          <w:rFonts w:ascii="Times New Roman" w:hAnsi="Times New Roman" w:cs="Times New Roman"/>
          <w:sz w:val="24"/>
          <w:szCs w:val="24"/>
        </w:rPr>
        <w:t>актуарні</w:t>
      </w:r>
      <w:proofErr w:type="spellEnd"/>
      <w:r w:rsidRPr="00895A49">
        <w:rPr>
          <w:rFonts w:ascii="Times New Roman" w:hAnsi="Times New Roman" w:cs="Times New Roman"/>
          <w:sz w:val="24"/>
          <w:szCs w:val="24"/>
        </w:rPr>
        <w:t xml:space="preserve"> припущення які базуються на ретроспективному досвіді Компанії відносно страхових випадків, а також суб’єктивних оцінок спеціалістів щодо рівня збитку від кожного страхового випадку, що наступив, які передбачають можливість зміни фінальних розрахункових показників. Керівництво Компанії у своїх оцінках виходить з найбільш вірогідних варіантів розвитку подій.</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б) Справедлива вартість фінансових інструментів</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Справедлива вартість фінансових інструментів, у разі якщо не існує активного ринку або якщо котирування не доступні, визначається з використанням методів оцінки.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Компанія вважає, що облікова оцінка, пов'язана з оцінкою фінансових інструментів, для яких відсутні котирування ринкових цін, є основним джерелом невизначеності оцінок у зв'язку з тим, що: (i) вона дуже схильна до змін від періоду до періоду, оскільки вона вимагає від керівництва приймати припущення щодо процентних ставок, </w:t>
      </w:r>
      <w:proofErr w:type="spellStart"/>
      <w:r w:rsidRPr="00895A49">
        <w:rPr>
          <w:rFonts w:ascii="Times New Roman" w:hAnsi="Times New Roman" w:cs="Times New Roman"/>
          <w:sz w:val="24"/>
          <w:szCs w:val="24"/>
        </w:rPr>
        <w:t>волантильностi</w:t>
      </w:r>
      <w:proofErr w:type="spellEnd"/>
      <w:r w:rsidRPr="00895A49">
        <w:rPr>
          <w:rFonts w:ascii="Times New Roman" w:hAnsi="Times New Roman" w:cs="Times New Roman"/>
          <w:sz w:val="24"/>
          <w:szCs w:val="24"/>
        </w:rPr>
        <w:t xml:space="preserve"> курсів обміну валют, кредитного рейтингу контрагента, оціночних коригувань i характеру конкретних операцій та (</w:t>
      </w:r>
      <w:proofErr w:type="spellStart"/>
      <w:r w:rsidRPr="00895A49">
        <w:rPr>
          <w:rFonts w:ascii="Times New Roman" w:hAnsi="Times New Roman" w:cs="Times New Roman"/>
          <w:sz w:val="24"/>
          <w:szCs w:val="24"/>
        </w:rPr>
        <w:t>ii</w:t>
      </w:r>
      <w:proofErr w:type="spellEnd"/>
      <w:r w:rsidRPr="00895A49">
        <w:rPr>
          <w:rFonts w:ascii="Times New Roman" w:hAnsi="Times New Roman" w:cs="Times New Roman"/>
          <w:sz w:val="24"/>
          <w:szCs w:val="24"/>
        </w:rPr>
        <w:t>) вплив на оцінку активів відображених в звіті про фінансовий стан, а також на звіт про фінансові результати (сукупний дохід), може виявитися істотним.</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г) Зменшення корисності фінансових активів</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Компанія оцінює зменшення корисності власних фінансових активів, зокрема депозитів в банках, грошей та їх еквівалентів, визначаючи ймовірність відшкодування їх вартості на основі детального аналізу банків. До уваги беруться фінансовий стан банку, кредитні рейтинги присвоєні банку, історія банку.</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Нестача ліквідних коштів у банківському секторі разом з фінансовими труднощами банків, призводить до суттєвої невизначеності оцінок щодо можливості їх відшкодування. </w:t>
      </w:r>
    </w:p>
    <w:p w:rsidR="00895A49" w:rsidRPr="00895A49" w:rsidRDefault="00895A49" w:rsidP="00895A49">
      <w:pPr>
        <w:pStyle w:val="Default"/>
        <w:widowControl w:val="0"/>
        <w:jc w:val="both"/>
        <w:rPr>
          <w:rFonts w:ascii="Times New Roman" w:hAnsi="Times New Roman" w:cs="Times New Roman"/>
          <w:color w:val="auto"/>
          <w:lang w:val="uk-UA"/>
        </w:rPr>
      </w:pPr>
      <w:r w:rsidRPr="00895A49">
        <w:rPr>
          <w:rFonts w:ascii="Times New Roman" w:hAnsi="Times New Roman" w:cs="Times New Roman"/>
          <w:color w:val="auto"/>
          <w:lang w:val="uk-UA"/>
        </w:rPr>
        <w:t>Станом на 31 березня 2022 р.  управлінський персонал Компанії вважає, що балансова вартість строкових депозитів, грошей та їх еквівалентів буде відшкодована, управлінський персонал не виявив ознак зменшення їх корисності. Відповідно, управлінським персоналом станом на 31 березня 2022не було створено додаткових резервів на покриття збитків від зменшення корисності фінансових активів, крім тих, що зазначені у примітці 5.5.</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lastRenderedPageBreak/>
        <w:t>У разі, якщо банки не зможуть повернути Компанії гроші та їх еквіваленти та кошти по депозитах після 31 березня 2022р., необхідно буде відобразити в обліку додаткові збитки від зменшення корисності.</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Резерв на покриття збитків від знецінення дебіторської заборгованості</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Компанія аналізує дебіторську заборгованість на предмет знецінення,шляхом створення резерву сумнівної заборгованості, на регулярній основі. При визначенні того, чи необхідно відображати збиток від знецінення у звіті про прибуток або збиток та інший сукупний дохід, Компанія використовує професійні судження на предмет наявності видимих показників, що свідчать про зниження розрахункових майбутніх потоків грошових коштів по дебіторській заборгованості. Такі показники можуть включати дані про негативну зміну платіжного статусу дебіторів у національних, або місцевих економічних умовах, пов'язаних з невиконанням зобов'язань.</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д) Податок на прибуток</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Результат діяльності Компанії є об'єктом податку на прибуток в Україні. Під час визначення суми зобов’язань з податку на прибуток та інших податків вимагається застосування істотних оцінок в силу складності українського податкового законодавства та неоднозначного його тлумачення податковими органами на регіональному та загальнодержавному рівнях. Існують різні операції, стосовно яких зберігається невизначеність щодо визначення остаточної суми зобов’язань. Компанія визнає зобов’язання стосовно оцінок щодо можливості нарахування додаткових податків. У випадках, коли остаточний податковий результат із цих питань відрізнятиметься від раніше відображених сум, такі різниці вплинуть на суму податку та податкових зобов’язань того періоду, в якому цей результат буде визначений. </w:t>
      </w:r>
    </w:p>
    <w:p w:rsidR="00895A49" w:rsidRPr="00895A49" w:rsidRDefault="00895A49" w:rsidP="00895A49">
      <w:pPr>
        <w:pStyle w:val="ac"/>
        <w:widowControl w:val="0"/>
        <w:ind w:left="0"/>
        <w:contextualSpacing w:val="0"/>
        <w:rPr>
          <w:b/>
        </w:rPr>
      </w:pPr>
      <w:r w:rsidRPr="00895A49">
        <w:rPr>
          <w:b/>
        </w:rPr>
        <w:t>3. Основні принципи облікової політики</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Положення облікової політики, описані далі, застосовувалися послідовно у всіх звітних періодах, представлених в цій фінансовій звітності.</w:t>
      </w:r>
    </w:p>
    <w:p w:rsidR="00895A49" w:rsidRPr="00895A49" w:rsidRDefault="00895A49" w:rsidP="00895A49">
      <w:pPr>
        <w:pStyle w:val="2"/>
        <w:widowControl w:val="0"/>
        <w:numPr>
          <w:ilvl w:val="0"/>
          <w:numId w:val="2"/>
        </w:numPr>
        <w:pBdr>
          <w:bottom w:val="none" w:sz="0" w:space="0" w:color="auto"/>
        </w:pBdr>
        <w:spacing w:before="0"/>
        <w:ind w:left="426" w:hanging="426"/>
        <w:jc w:val="left"/>
        <w:rPr>
          <w:rFonts w:ascii="Times New Roman" w:hAnsi="Times New Roman"/>
          <w:b/>
          <w:i/>
          <w:caps w:val="0"/>
          <w:color w:val="auto"/>
          <w:spacing w:val="0"/>
        </w:rPr>
      </w:pPr>
      <w:r w:rsidRPr="00895A49">
        <w:rPr>
          <w:rFonts w:ascii="Times New Roman" w:hAnsi="Times New Roman"/>
          <w:b/>
          <w:i/>
          <w:caps w:val="0"/>
          <w:color w:val="auto"/>
          <w:spacing w:val="0"/>
        </w:rPr>
        <w:t>Договори страхування</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і) Класифікація договорів страхування</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Договори, за якими Компанія приймає значний страховий ризик іншої сторони (власника страхового поліса), погодившись надати компенсацію власникові страхового поліса чи іншому </w:t>
      </w:r>
      <w:proofErr w:type="spellStart"/>
      <w:r w:rsidRPr="00895A49">
        <w:rPr>
          <w:rFonts w:ascii="Times New Roman" w:hAnsi="Times New Roman" w:cs="Times New Roman"/>
          <w:sz w:val="24"/>
          <w:szCs w:val="24"/>
        </w:rPr>
        <w:t>вигодонабувачу</w:t>
      </w:r>
      <w:proofErr w:type="spellEnd"/>
      <w:r w:rsidRPr="00895A49">
        <w:rPr>
          <w:rFonts w:ascii="Times New Roman" w:hAnsi="Times New Roman" w:cs="Times New Roman"/>
          <w:sz w:val="24"/>
          <w:szCs w:val="24"/>
        </w:rPr>
        <w:t xml:space="preserve">, у тому випадку, якщо визначена у контракті непевна майбутня подія (страховий випадок) негативно вплине на власника страхового поліса чи </w:t>
      </w:r>
      <w:proofErr w:type="spellStart"/>
      <w:r w:rsidRPr="00895A49">
        <w:rPr>
          <w:rFonts w:ascii="Times New Roman" w:hAnsi="Times New Roman" w:cs="Times New Roman"/>
          <w:sz w:val="24"/>
          <w:szCs w:val="24"/>
        </w:rPr>
        <w:t>вигодонабувача</w:t>
      </w:r>
      <w:proofErr w:type="spellEnd"/>
      <w:r w:rsidRPr="00895A49">
        <w:rPr>
          <w:rFonts w:ascii="Times New Roman" w:hAnsi="Times New Roman" w:cs="Times New Roman"/>
          <w:sz w:val="24"/>
          <w:szCs w:val="24"/>
        </w:rPr>
        <w:t xml:space="preserve">, класифікуються як страхові контракти.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Страховий ризик не є фінансовим ризиком. Фінансовий ризик – це ризик можливої майбутньої зміни одного або кількох визначених фінансових параметрів, таких як процентні ставки, ціни на фінансові інструменти, ціни на споживчі товари, валютний курс, індекс цін чи ставок, показник кредитного рейтингу чи індексу платоспроможності, тощо, або у випадку зміни </w:t>
      </w:r>
      <w:proofErr w:type="spellStart"/>
      <w:r w:rsidRPr="00895A49">
        <w:rPr>
          <w:rFonts w:ascii="Times New Roman" w:hAnsi="Times New Roman" w:cs="Times New Roman"/>
          <w:sz w:val="24"/>
          <w:szCs w:val="24"/>
        </w:rPr>
        <w:t>нефінансових</w:t>
      </w:r>
      <w:proofErr w:type="spellEnd"/>
      <w:r w:rsidRPr="00895A49">
        <w:rPr>
          <w:rFonts w:ascii="Times New Roman" w:hAnsi="Times New Roman" w:cs="Times New Roman"/>
          <w:sz w:val="24"/>
          <w:szCs w:val="24"/>
        </w:rPr>
        <w:t xml:space="preserve"> параметрів – якщо така зміна не є характерною для сторони контракту. Страхові договори можуть також покривати певний фінансовий ризик.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Страховий ризик є суттєвим, якщо і тільки якщо внаслідок страхового випадку у Компанії може виникати зобов’язання зі сплати суттєвих збитків. З моменту класифікації договору як страхового договору його класифікація залишається незмінною до припинення дії договору або виконання всіх прав та зобов’язань. Договори, згідно з якими передача страхового ризику до Компанії від власника страхового поліса є несуттєвою, класифікуються як фінансові інструменти.</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іі) Визнання й оцінка договорів страхування</w:t>
      </w:r>
    </w:p>
    <w:p w:rsidR="00895A49" w:rsidRPr="00895A49" w:rsidRDefault="00895A49" w:rsidP="00895A49">
      <w:pPr>
        <w:pStyle w:val="af6"/>
        <w:widowControl w:val="0"/>
        <w:spacing w:before="0" w:beforeAutospacing="0" w:after="0" w:afterAutospacing="0"/>
        <w:jc w:val="both"/>
        <w:rPr>
          <w:b/>
          <w:i/>
          <w:lang w:val="uk-UA"/>
        </w:rPr>
      </w:pPr>
      <w:r w:rsidRPr="00895A49">
        <w:rPr>
          <w:b/>
          <w:i/>
          <w:lang w:val="uk-UA"/>
        </w:rPr>
        <w:t>Премії</w:t>
      </w:r>
    </w:p>
    <w:p w:rsidR="00895A49" w:rsidRPr="00895A49" w:rsidRDefault="00895A49" w:rsidP="00895A49">
      <w:pPr>
        <w:pStyle w:val="af6"/>
        <w:widowControl w:val="0"/>
        <w:spacing w:before="0" w:beforeAutospacing="0" w:after="0" w:afterAutospacing="0"/>
        <w:jc w:val="both"/>
        <w:rPr>
          <w:lang w:val="uk-UA"/>
        </w:rPr>
      </w:pPr>
      <w:r w:rsidRPr="00895A49">
        <w:rPr>
          <w:lang w:val="uk-UA"/>
        </w:rPr>
        <w:t>Страхові премії включають премії за договорами страхування, укладеними протягом року, і обліковуються як нараховані в поточному звітному періоді незалежно від того, чи відносяться вони повністю або частково до майбутніх періодів. Зароблена частина отриманих премій визнається доходом. Страхові премії за договорами, переданими у перестрахування, визнаються витратами відповідно до характеру наданого перестрахування протягом періоду відповідальності.</w:t>
      </w:r>
    </w:p>
    <w:p w:rsidR="00895A49" w:rsidRPr="00895A49" w:rsidRDefault="00895A49" w:rsidP="00895A49">
      <w:pPr>
        <w:pStyle w:val="af6"/>
        <w:widowControl w:val="0"/>
        <w:spacing w:before="0" w:beforeAutospacing="0" w:after="0" w:afterAutospacing="0"/>
        <w:jc w:val="both"/>
        <w:rPr>
          <w:lang w:val="uk-UA"/>
        </w:rPr>
      </w:pPr>
    </w:p>
    <w:p w:rsidR="00895A49" w:rsidRPr="00895A49" w:rsidRDefault="00895A49" w:rsidP="00895A49">
      <w:pPr>
        <w:pStyle w:val="aa"/>
        <w:widowControl w:val="0"/>
        <w:jc w:val="both"/>
        <w:rPr>
          <w:b/>
          <w:i/>
        </w:rPr>
      </w:pPr>
      <w:r w:rsidRPr="00895A49">
        <w:rPr>
          <w:b/>
          <w:i/>
        </w:rPr>
        <w:t>Дострокове припинення дії договорів страхування</w:t>
      </w:r>
    </w:p>
    <w:p w:rsidR="00895A49" w:rsidRPr="00895A49" w:rsidRDefault="00895A49" w:rsidP="00895A49">
      <w:pPr>
        <w:pStyle w:val="aa"/>
        <w:widowControl w:val="0"/>
        <w:jc w:val="both"/>
      </w:pPr>
      <w:r w:rsidRPr="00895A49">
        <w:lastRenderedPageBreak/>
        <w:t>Дія договору страхування може бути достроково припинена за вимогою страхувальника або страховика, якщо це передбачено умовами договору страхування.</w:t>
      </w:r>
    </w:p>
    <w:p w:rsidR="00895A49" w:rsidRPr="00895A49" w:rsidRDefault="00895A49" w:rsidP="00895A49">
      <w:pPr>
        <w:pStyle w:val="aa"/>
        <w:widowControl w:val="0"/>
        <w:jc w:val="both"/>
      </w:pPr>
      <w:r w:rsidRPr="00895A49">
        <w:t>Про намір достроково припинити дію договору страхування будь-яка сторона зобов’язана повідомити іншу не пізніш як за 30 днів до дати припинення дії договору страхування, якщо інше ним не передбачено.</w:t>
      </w:r>
    </w:p>
    <w:p w:rsidR="00895A49" w:rsidRPr="00895A49" w:rsidRDefault="00895A49" w:rsidP="00895A49">
      <w:pPr>
        <w:pStyle w:val="aa"/>
        <w:widowControl w:val="0"/>
        <w:jc w:val="both"/>
      </w:pPr>
      <w:r w:rsidRPr="00895A49">
        <w:t>У разі дострокового припинення дії договору страхування за вимогою страхувальника страховик повертає йому страхові платежі за період, що залишився до закінчення дії договору з вирахуванням нормативних витрат на ведення справи, визначених при розрахунку страхового тарифу, фактичних виплат страхових сум та страхового відшкодування, здійснених за цим договором страхування. Якщо вимога страхувальника зумовлена порушенням страховиком положень договору страхування, то останній повертає страхувальникові сплачені ним страхові платежі повністю.</w:t>
      </w:r>
    </w:p>
    <w:p w:rsidR="00895A49" w:rsidRPr="00895A49" w:rsidRDefault="00895A49" w:rsidP="00895A49">
      <w:pPr>
        <w:pStyle w:val="aa"/>
        <w:widowControl w:val="0"/>
        <w:jc w:val="both"/>
      </w:pPr>
      <w:r w:rsidRPr="00895A49">
        <w:t>У разі дострокового припинення дії договору страхування за вимогою страховика страхувальникові повертаються повністю сплачені ним страхові платежі. Якщо вимога страховика зумовлена невиконанням страхувальником умов договору страхування, то страховик повертає страхувальникові страхові платежі за час дії договору з вирахуванням витрат на ведення справи, визначених нормативом у розмірі страхового тарифу, виплат страхових сум та страхового відшкодування, що були здійснені за цим договором страхування.</w:t>
      </w:r>
    </w:p>
    <w:p w:rsidR="00895A49" w:rsidRPr="00895A49" w:rsidRDefault="00895A49" w:rsidP="00895A49">
      <w:pPr>
        <w:pStyle w:val="aa"/>
        <w:widowControl w:val="0"/>
        <w:jc w:val="both"/>
      </w:pPr>
      <w:r w:rsidRPr="00895A49">
        <w:t>Валова сума страхових премій відображається за вирахуванням повернених премій достроково припинених договорів страхування.</w:t>
      </w:r>
    </w:p>
    <w:p w:rsidR="00895A49" w:rsidRPr="00895A49" w:rsidRDefault="00895A49" w:rsidP="00895A49">
      <w:pPr>
        <w:widowControl w:val="0"/>
        <w:tabs>
          <w:tab w:val="left" w:pos="142"/>
        </w:tabs>
        <w:spacing w:after="0" w:line="240" w:lineRule="auto"/>
        <w:jc w:val="both"/>
        <w:rPr>
          <w:rFonts w:ascii="Times New Roman" w:hAnsi="Times New Roman" w:cs="Times New Roman"/>
          <w:sz w:val="24"/>
          <w:szCs w:val="24"/>
        </w:rPr>
      </w:pPr>
      <w:r w:rsidRPr="00895A49">
        <w:rPr>
          <w:rFonts w:ascii="Times New Roman" w:hAnsi="Times New Roman" w:cs="Times New Roman"/>
          <w:b/>
          <w:i/>
          <w:sz w:val="24"/>
          <w:szCs w:val="24"/>
        </w:rPr>
        <w:t xml:space="preserve">Страхові виплати </w:t>
      </w:r>
      <w:r w:rsidRPr="00895A49">
        <w:rPr>
          <w:rFonts w:ascii="Times New Roman" w:hAnsi="Times New Roman" w:cs="Times New Roman"/>
          <w:sz w:val="24"/>
          <w:szCs w:val="24"/>
        </w:rPr>
        <w:t>визнаються в тому періоді, в якому вони виникають, на основі розрахункових зобов’язань з компенсації, що підлягає виплаті страховиком відповідно до умов договору страхування. Якщо сума страхової виплати визначена і підлягає сплаті, валова сума страхових виплат обліковується у складі витрат.</w:t>
      </w:r>
    </w:p>
    <w:p w:rsidR="00895A49" w:rsidRPr="00895A49" w:rsidRDefault="00895A49" w:rsidP="00895A49">
      <w:pPr>
        <w:widowControl w:val="0"/>
        <w:tabs>
          <w:tab w:val="left" w:pos="142"/>
        </w:tabs>
        <w:spacing w:after="0" w:line="240" w:lineRule="auto"/>
        <w:jc w:val="both"/>
        <w:rPr>
          <w:rFonts w:ascii="Times New Roman" w:hAnsi="Times New Roman" w:cs="Times New Roman"/>
          <w:sz w:val="24"/>
          <w:szCs w:val="24"/>
        </w:rPr>
      </w:pPr>
      <w:r w:rsidRPr="00895A49">
        <w:rPr>
          <w:rFonts w:ascii="Times New Roman" w:hAnsi="Times New Roman" w:cs="Times New Roman"/>
          <w:b/>
          <w:i/>
          <w:sz w:val="24"/>
          <w:szCs w:val="24"/>
        </w:rPr>
        <w:t>Витрати на врегулювання збитків</w:t>
      </w:r>
      <w:r w:rsidRPr="00895A49">
        <w:rPr>
          <w:rFonts w:ascii="Times New Roman" w:hAnsi="Times New Roman" w:cs="Times New Roman"/>
          <w:sz w:val="24"/>
          <w:szCs w:val="24"/>
        </w:rPr>
        <w:t xml:space="preserve"> включають всі витрати, безпосередньо пов’язані з врегулюванням страхових виплат, в тому числі витрати на </w:t>
      </w:r>
      <w:proofErr w:type="spellStart"/>
      <w:r w:rsidRPr="00895A49">
        <w:rPr>
          <w:rFonts w:ascii="Times New Roman" w:hAnsi="Times New Roman" w:cs="Times New Roman"/>
          <w:sz w:val="24"/>
          <w:szCs w:val="24"/>
        </w:rPr>
        <w:t>ассістанс</w:t>
      </w:r>
      <w:proofErr w:type="spellEnd"/>
      <w:r w:rsidRPr="00895A49">
        <w:rPr>
          <w:rFonts w:ascii="Times New Roman" w:hAnsi="Times New Roman" w:cs="Times New Roman"/>
          <w:sz w:val="24"/>
          <w:szCs w:val="24"/>
        </w:rPr>
        <w:t xml:space="preserve">, оплата за експертні (оцінні) роботи. Витрати на врегулювання збитків визнаються в момент їх виникнення. </w:t>
      </w:r>
    </w:p>
    <w:p w:rsidR="00895A49" w:rsidRPr="00895A49" w:rsidRDefault="00895A49" w:rsidP="00895A49">
      <w:pPr>
        <w:widowControl w:val="0"/>
        <w:tabs>
          <w:tab w:val="left" w:pos="142"/>
        </w:tabs>
        <w:spacing w:after="0" w:line="240" w:lineRule="auto"/>
        <w:jc w:val="both"/>
        <w:rPr>
          <w:rFonts w:ascii="Times New Roman" w:hAnsi="Times New Roman" w:cs="Times New Roman"/>
          <w:sz w:val="24"/>
          <w:szCs w:val="24"/>
        </w:rPr>
      </w:pPr>
      <w:r w:rsidRPr="00895A49">
        <w:rPr>
          <w:rFonts w:ascii="Times New Roman" w:hAnsi="Times New Roman" w:cs="Times New Roman"/>
          <w:b/>
          <w:i/>
          <w:sz w:val="24"/>
          <w:szCs w:val="24"/>
        </w:rPr>
        <w:t>Суми відшкодувань</w:t>
      </w:r>
      <w:r w:rsidRPr="00895A49">
        <w:rPr>
          <w:rFonts w:ascii="Times New Roman" w:hAnsi="Times New Roman" w:cs="Times New Roman"/>
          <w:sz w:val="24"/>
          <w:szCs w:val="24"/>
        </w:rPr>
        <w:t xml:space="preserve"> від перестраховиків включає суми, отримані від перестраховиків  за страховими виплатами у зв’язку з чинними договорами перестрахування. Суми відшкодувань від перестраховиків визнається одночасно із визнанням валової суми відповідних страхових виплат.</w:t>
      </w:r>
    </w:p>
    <w:p w:rsidR="00895A49" w:rsidRPr="00895A49" w:rsidRDefault="00895A49" w:rsidP="00895A49">
      <w:pPr>
        <w:pStyle w:val="af6"/>
        <w:widowControl w:val="0"/>
        <w:spacing w:before="0" w:beforeAutospacing="0" w:after="0" w:afterAutospacing="0"/>
        <w:jc w:val="both"/>
        <w:rPr>
          <w:lang w:val="uk-UA"/>
        </w:rPr>
      </w:pPr>
      <w:r w:rsidRPr="00895A49">
        <w:rPr>
          <w:b/>
          <w:i/>
          <w:lang w:val="uk-UA"/>
        </w:rPr>
        <w:t>ііі) Перестрахування</w:t>
      </w:r>
    </w:p>
    <w:p w:rsidR="00895A49" w:rsidRPr="00895A49" w:rsidRDefault="00895A49" w:rsidP="00895A49">
      <w:pPr>
        <w:pStyle w:val="af6"/>
        <w:widowControl w:val="0"/>
        <w:tabs>
          <w:tab w:val="left" w:pos="142"/>
        </w:tabs>
        <w:spacing w:before="0" w:beforeAutospacing="0" w:after="0" w:afterAutospacing="0"/>
        <w:jc w:val="both"/>
        <w:rPr>
          <w:lang w:val="uk-UA"/>
        </w:rPr>
      </w:pPr>
      <w:r w:rsidRPr="00895A49">
        <w:rPr>
          <w:lang w:val="uk-UA"/>
        </w:rPr>
        <w:t>Компанія передає в перестрахування частину прийнятих на страхування ризиків для того, щоб контролювати ризик збитків і захищати власний капітал.  Договори перестрахування не звільняють Компанію від його первісних зобов’язань перед страхувальником.</w:t>
      </w:r>
    </w:p>
    <w:p w:rsidR="00895A49" w:rsidRPr="00895A49" w:rsidRDefault="00895A49" w:rsidP="00895A49">
      <w:pPr>
        <w:pStyle w:val="af6"/>
        <w:widowControl w:val="0"/>
        <w:tabs>
          <w:tab w:val="left" w:pos="142"/>
        </w:tabs>
        <w:spacing w:before="0" w:beforeAutospacing="0" w:after="0" w:afterAutospacing="0"/>
        <w:jc w:val="both"/>
        <w:rPr>
          <w:lang w:val="uk-UA"/>
        </w:rPr>
      </w:pPr>
      <w:r w:rsidRPr="00895A49">
        <w:rPr>
          <w:lang w:val="uk-UA"/>
        </w:rPr>
        <w:t xml:space="preserve">Передані премії та суми відшкодувань, отриманих від перестраховиків представлені у прибутку чи збитку та у звіті про фінансові результати на валовій основі. </w:t>
      </w:r>
    </w:p>
    <w:p w:rsidR="00895A49" w:rsidRPr="00895A49" w:rsidRDefault="00895A49" w:rsidP="00895A49">
      <w:pPr>
        <w:pStyle w:val="af6"/>
        <w:widowControl w:val="0"/>
        <w:tabs>
          <w:tab w:val="left" w:pos="142"/>
        </w:tabs>
        <w:spacing w:before="0" w:beforeAutospacing="0" w:after="0" w:afterAutospacing="0"/>
        <w:jc w:val="both"/>
        <w:rPr>
          <w:lang w:val="uk-UA"/>
        </w:rPr>
      </w:pPr>
      <w:r w:rsidRPr="00895A49">
        <w:rPr>
          <w:lang w:val="uk-UA"/>
        </w:rPr>
        <w:t>Активи перестрахування включають залишки заборгованості від компаній-перестраховиків по переданим страховим зобов’язанням. Суми, що будуть відшкодовані перестраховиками, розраховуються на підставі врегульованих збитків по перестрахованим договорам.</w:t>
      </w:r>
    </w:p>
    <w:p w:rsidR="00895A49" w:rsidRPr="00895A49" w:rsidRDefault="00895A49" w:rsidP="00895A49">
      <w:pPr>
        <w:pStyle w:val="af6"/>
        <w:widowControl w:val="0"/>
        <w:tabs>
          <w:tab w:val="left" w:pos="142"/>
        </w:tabs>
        <w:spacing w:before="0" w:beforeAutospacing="0" w:after="0" w:afterAutospacing="0"/>
        <w:jc w:val="both"/>
        <w:rPr>
          <w:lang w:val="uk-UA"/>
        </w:rPr>
      </w:pPr>
      <w:r w:rsidRPr="00895A49">
        <w:rPr>
          <w:lang w:val="uk-UA"/>
        </w:rPr>
        <w:t>Премії за договорами перестрахування визнаються як дохід та обліковуються так, наче перестрахування є прямим страхуванням, з урахуванням класифікації продуктів з перестрахування.</w:t>
      </w:r>
    </w:p>
    <w:p w:rsidR="00895A49" w:rsidRPr="00895A49" w:rsidRDefault="00895A49" w:rsidP="00895A49">
      <w:pPr>
        <w:pStyle w:val="af6"/>
        <w:widowControl w:val="0"/>
        <w:tabs>
          <w:tab w:val="left" w:pos="142"/>
        </w:tabs>
        <w:spacing w:before="0" w:beforeAutospacing="0" w:after="0" w:afterAutospacing="0"/>
        <w:jc w:val="both"/>
        <w:rPr>
          <w:lang w:val="uk-UA"/>
        </w:rPr>
      </w:pPr>
      <w:r w:rsidRPr="00895A49">
        <w:rPr>
          <w:lang w:val="uk-UA"/>
        </w:rPr>
        <w:t xml:space="preserve">Активи перестрахування оцінюються на предмет зменшення корисності на кожну звітну дату. Такі активи вважаються знеціненими, якщо існують об’єктивні причини,  що Компанія може не отримати всі суми належні до оплати і якщо існує можливість оцінити вплив таких причин на суми, які Компанія може отримати від перестраховиків. Права за контрактами, що призводять до передачі суттєвої частини страхового ризику, обліковуються як активи з перестрахування. Права за контрактами, що не передбачають передачі суттєвого страхового ризику, обліковуються як фінансові інструменти. </w:t>
      </w:r>
    </w:p>
    <w:p w:rsidR="00895A49" w:rsidRPr="00895A49" w:rsidRDefault="00895A49" w:rsidP="00895A49">
      <w:pPr>
        <w:pStyle w:val="af6"/>
        <w:widowControl w:val="0"/>
        <w:spacing w:before="0" w:beforeAutospacing="0" w:after="0" w:afterAutospacing="0"/>
        <w:jc w:val="both"/>
        <w:rPr>
          <w:lang w:val="uk-UA"/>
        </w:rPr>
      </w:pPr>
      <w:r w:rsidRPr="00895A49">
        <w:rPr>
          <w:b/>
          <w:i/>
          <w:lang w:val="en-US"/>
        </w:rPr>
        <w:t>iv</w:t>
      </w:r>
      <w:r w:rsidRPr="00895A49">
        <w:rPr>
          <w:b/>
          <w:i/>
          <w:lang w:val="uk-UA"/>
        </w:rPr>
        <w:t>) Страхові резерви</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Резерви визнаються, коли Компанія має поточне зобов’язання в результаті подій, що сталися у </w:t>
      </w:r>
      <w:r w:rsidRPr="00895A49">
        <w:rPr>
          <w:rFonts w:ascii="Times New Roman" w:hAnsi="Times New Roman" w:cs="Times New Roman"/>
          <w:sz w:val="24"/>
          <w:szCs w:val="24"/>
        </w:rPr>
        <w:lastRenderedPageBreak/>
        <w:t>минулому, коли існує ймовірність того, що погашення даного зобов’язання призведе до відтоку ресурсів, що являють собою економічні вигоди і існує можливість достовірно оцінити суму зобов’язання.</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Компанія створює страхові резерви, що призначені забезпечити виконання зобов'язань за майбутніми виплатами страхових сум і страхового відшкодування, підвищити надійність та платоспроможність страхової компанії.</w:t>
      </w:r>
      <w:r>
        <w:rPr>
          <w:rFonts w:ascii="Times New Roman" w:hAnsi="Times New Roman" w:cs="Times New Roman"/>
          <w:sz w:val="24"/>
          <w:szCs w:val="24"/>
        </w:rPr>
        <w:t xml:space="preserve"> </w:t>
      </w:r>
      <w:r w:rsidRPr="00895A49">
        <w:rPr>
          <w:rFonts w:ascii="Times New Roman" w:hAnsi="Times New Roman" w:cs="Times New Roman"/>
          <w:sz w:val="24"/>
          <w:szCs w:val="24"/>
        </w:rPr>
        <w:t xml:space="preserve">Страхові резерви формуються згідно з ЗУ «Про страхування»,  Методики формування страхових резервів за видами страхування, іншими, ніж страхування життя, затверджених розпорядженням Державної комісії з регулювання ринків фінансових послуг України від 17.12.2004р. №3104та«Внутрішньою політикою страховика із формування технічних резервів», що затверджена Головою правління </w:t>
      </w:r>
      <w:proofErr w:type="spellStart"/>
      <w:r w:rsidRPr="00895A49">
        <w:rPr>
          <w:rFonts w:ascii="Times New Roman" w:hAnsi="Times New Roman" w:cs="Times New Roman"/>
          <w:sz w:val="24"/>
          <w:szCs w:val="24"/>
        </w:rPr>
        <w:t>ПрАТ</w:t>
      </w:r>
      <w:proofErr w:type="spellEnd"/>
      <w:r w:rsidRPr="00895A49">
        <w:rPr>
          <w:rFonts w:ascii="Times New Roman" w:hAnsi="Times New Roman" w:cs="Times New Roman"/>
          <w:sz w:val="24"/>
          <w:szCs w:val="24"/>
        </w:rPr>
        <w:t xml:space="preserve"> «СГУ» 15 січня 2020р.</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Резерв незароблених премій</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Резерв незароблених премій формується окремо за видами страхування за методом «плаваючих кварталів» виходячи із часток надходжень страхових платежів за три квартали, що передують звітній даті, із застосуванням коефіцієнтів 0,75; 0,5 та 0,25.</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Частки надходжень сум страхових платежів визначаються як сума надходжень страхових платежів за відповідний період (перший, другий або третій квартал розрахункового періоду), зменшених на суми страхових платежів, що повертаються страхувальникам по договорам страхування.</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Під час розрахунку частки перестраховиків у резерві незароблених премій також використовується метод «плаваючих кварталів».</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Частки перестрахувальних платежів визначаються як сума платежів перестраховикам за відповідний період (перший, другий або третій квартал розрахункового періоду), зменшених на суми платежів, що повертаються перестраховикам.</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Зміни в резерві незароблених премій визнаються в складі прибутку чи збитку за період, в якому діє страхове покриття.</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Резерв заявлених, але невиплачених збитків.</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Резерв заявлених, але невиплачених збитків (РЗНЗ) – формується для забезпечення виконання зобов'язань, що невиконані та неврегульовані або виконані неповністю страховиком на звітну дату. Величина резерву заявлених, але не виплачених збитків визначається за кожним видом страхування з урахуванням умов відповідних договорів на підставі відомих вимог страхувальників, отриманих у будь-якій формі в залежності від сум фактично зазнаних або очікуваних страхувальниками збитків (шкоди)  у разі настання страхового випадку.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Якщо про страховий випадок повідомлено, але розмір збитку не визначений, для розрахунку резерву використовують максимально можливу величину збитку, яка не перевищує страхової суми за договором. Величина резерву заявлених, але не виплачених збитків відповідає сумі заявлених збитків у звітному періоді збільшеній на суму не виплачених збитків  на початок звітного періоду за попередні періоди та зменшеної на вже виплачені протягом звітного періоду збитки плюс витрати на врегулювання збитків. Останні приймаються в розмірі 3% від суми невиплачених збитків на кінець звітного періоду.</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Страхові резерви, згідно з чинним законодавством, розміщуються з урахуванням прибутковості, ліквідності, безпечності та диверсифікованості. Вони представлені активами таких  категорій:</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грошові кошти на поточному рахунку;</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банківські вклади (депозити);</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нерухоме майно;</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права вимоги до перестраховиків.</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На кожну звітну дату проводиться тест на достатність (адекватність) визнаних страхових зобов’язань за допомогою оцінки майбутніх грошових потоків від страхових договорів і порівняння прогнозованого грошового потоку з балансовою вартістю зобов’язань. При виконанні цих тестів використовуються поточні найкращі оцінки всіх майбутніх потоків грошових коштів по договорам страхування і пов’язані з цим витрати, такі, як витрати на врегулювання збитків і </w:t>
      </w:r>
      <w:r w:rsidRPr="00895A49">
        <w:rPr>
          <w:rFonts w:ascii="Times New Roman" w:hAnsi="Times New Roman" w:cs="Times New Roman"/>
          <w:sz w:val="24"/>
          <w:szCs w:val="24"/>
        </w:rPr>
        <w:lastRenderedPageBreak/>
        <w:t xml:space="preserve">інвестиційний дохід від активів, які забезпечують виконання договору страхування.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Якщо тест покаже, що врахована сума зобов’язань недостатня, то різниця відноситься до витрат звітного періоду, при цьому Компанія формує допоміжні технічні резерви.</w:t>
      </w:r>
    </w:p>
    <w:p w:rsidR="00895A49" w:rsidRPr="00895A49" w:rsidRDefault="00895A49" w:rsidP="00895A49">
      <w:pPr>
        <w:pStyle w:val="3"/>
        <w:widowControl w:val="0"/>
        <w:pBdr>
          <w:top w:val="none" w:sz="0" w:space="0" w:color="auto"/>
          <w:bottom w:val="none" w:sz="0" w:space="0" w:color="auto"/>
        </w:pBdr>
        <w:spacing w:before="0"/>
        <w:jc w:val="both"/>
        <w:rPr>
          <w:rFonts w:ascii="Times New Roman" w:hAnsi="Times New Roman"/>
          <w:b/>
          <w:iCs/>
          <w:caps w:val="0"/>
          <w:color w:val="auto"/>
        </w:rPr>
      </w:pPr>
      <w:r w:rsidRPr="00895A49">
        <w:rPr>
          <w:rFonts w:ascii="Times New Roman" w:hAnsi="Times New Roman"/>
          <w:b/>
          <w:iCs/>
          <w:caps w:val="0"/>
          <w:color w:val="auto"/>
        </w:rPr>
        <w:t>(в) Дебіторська та кредиторська заборгованість</w:t>
      </w:r>
    </w:p>
    <w:p w:rsidR="00895A49" w:rsidRPr="00895A49" w:rsidRDefault="00895A49" w:rsidP="00895A49">
      <w:pPr>
        <w:pStyle w:val="3"/>
        <w:widowControl w:val="0"/>
        <w:pBdr>
          <w:top w:val="none" w:sz="0" w:space="0" w:color="auto"/>
          <w:bottom w:val="none" w:sz="0" w:space="0" w:color="auto"/>
        </w:pBdr>
        <w:spacing w:before="0"/>
        <w:jc w:val="both"/>
        <w:rPr>
          <w:rFonts w:ascii="Times New Roman" w:hAnsi="Times New Roman"/>
          <w:b/>
          <w:i/>
          <w:color w:val="auto"/>
        </w:rPr>
      </w:pPr>
      <w:r w:rsidRPr="00895A49">
        <w:rPr>
          <w:rFonts w:ascii="Times New Roman" w:hAnsi="Times New Roman"/>
          <w:b/>
          <w:i/>
          <w:caps w:val="0"/>
          <w:color w:val="auto"/>
        </w:rPr>
        <w:t>Дебіторська заборгованість по операціях страхування, авансові платежі</w:t>
      </w:r>
    </w:p>
    <w:p w:rsidR="00895A49" w:rsidRPr="00895A49" w:rsidRDefault="00895A49" w:rsidP="00895A49">
      <w:pPr>
        <w:pStyle w:val="af7"/>
        <w:widowControl w:val="0"/>
        <w:spacing w:after="0"/>
        <w:ind w:right="-28"/>
        <w:jc w:val="both"/>
        <w:rPr>
          <w:sz w:val="24"/>
          <w:szCs w:val="24"/>
        </w:rPr>
      </w:pPr>
      <w:r w:rsidRPr="00895A49">
        <w:rPr>
          <w:sz w:val="24"/>
          <w:szCs w:val="24"/>
        </w:rPr>
        <w:t xml:space="preserve">Дебіторська і кредиторська заборгованість відносно страхувальників, агентів і перестрахувальників є фінансовими інструментами, як зазначено вище, і включена до складу дебіторської й кредиторської заборгованості, а не до складу страхових резервів або перестрахувальних активів. Компанія може провести залік дебіторської й кредиторської заборгованості, якщо існує законодавчо встановлене право зробити взаємозалік. </w:t>
      </w:r>
    </w:p>
    <w:p w:rsidR="00895A49" w:rsidRPr="00895A49" w:rsidRDefault="00895A49" w:rsidP="00895A49">
      <w:pPr>
        <w:pStyle w:val="af7"/>
        <w:widowControl w:val="0"/>
        <w:spacing w:after="0"/>
        <w:ind w:right="-28"/>
        <w:jc w:val="both"/>
        <w:rPr>
          <w:sz w:val="24"/>
          <w:szCs w:val="24"/>
        </w:rPr>
      </w:pPr>
      <w:r w:rsidRPr="00895A49">
        <w:rPr>
          <w:sz w:val="24"/>
          <w:szCs w:val="24"/>
        </w:rPr>
        <w:t>Авансові платежі враховуються на дату здійснення платежу, але відображаються в складі прибутку чи збитку на дату надання послуг.</w:t>
      </w:r>
    </w:p>
    <w:p w:rsidR="00895A49" w:rsidRPr="00895A49" w:rsidRDefault="00895A49" w:rsidP="00895A49">
      <w:pPr>
        <w:pStyle w:val="af7"/>
        <w:widowControl w:val="0"/>
        <w:spacing w:after="0"/>
        <w:ind w:right="-28"/>
        <w:jc w:val="both"/>
        <w:rPr>
          <w:b/>
          <w:i/>
          <w:sz w:val="24"/>
          <w:szCs w:val="24"/>
        </w:rPr>
      </w:pPr>
      <w:r w:rsidRPr="00895A49">
        <w:rPr>
          <w:b/>
          <w:i/>
          <w:sz w:val="24"/>
          <w:szCs w:val="24"/>
        </w:rPr>
        <w:t>Інша дебіторська заборгованість</w:t>
      </w:r>
    </w:p>
    <w:p w:rsidR="00895A49" w:rsidRPr="00895A49" w:rsidRDefault="00895A49" w:rsidP="00895A49">
      <w:pPr>
        <w:widowControl w:val="0"/>
        <w:spacing w:after="0" w:line="240" w:lineRule="auto"/>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Інша дебіторська заборгованість визнається як актив тоді, коли Компанія стає стороною договору та, внаслідок цього, набуває юридичне право одержати грошові кошти.</w:t>
      </w:r>
    </w:p>
    <w:p w:rsidR="00895A49" w:rsidRPr="00895A49" w:rsidRDefault="00895A49" w:rsidP="00895A49">
      <w:pPr>
        <w:widowControl w:val="0"/>
        <w:spacing w:after="0" w:line="240" w:lineRule="auto"/>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Первісна оцінка дебіторської заборгованості здійснюється за справедливою вартістю.</w:t>
      </w:r>
    </w:p>
    <w:p w:rsidR="00895A49" w:rsidRPr="00895A49" w:rsidRDefault="00895A49" w:rsidP="00895A49">
      <w:pPr>
        <w:widowControl w:val="0"/>
        <w:spacing w:after="0" w:line="240" w:lineRule="auto"/>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Поточну дебіторську заборгованість без встановленої ставки відсотка Компанія оцінює за сумою договору або первісного рахунку фактури, якщо вплив дисконтування є несуттєвим.</w:t>
      </w:r>
    </w:p>
    <w:p w:rsidR="00895A49" w:rsidRPr="00895A49" w:rsidRDefault="00895A49" w:rsidP="00895A49">
      <w:pPr>
        <w:widowControl w:val="0"/>
        <w:spacing w:after="0" w:line="240" w:lineRule="auto"/>
        <w:jc w:val="both"/>
        <w:rPr>
          <w:rFonts w:ascii="Times New Roman" w:hAnsi="Times New Roman" w:cs="Times New Roman"/>
          <w:b/>
          <w:i/>
          <w:color w:val="000000"/>
          <w:sz w:val="24"/>
          <w:szCs w:val="24"/>
          <w:lang w:bidi="uk-UA"/>
        </w:rPr>
      </w:pPr>
      <w:r w:rsidRPr="00895A49">
        <w:rPr>
          <w:rFonts w:ascii="Times New Roman" w:hAnsi="Times New Roman" w:cs="Times New Roman"/>
          <w:b/>
          <w:i/>
          <w:color w:val="000000"/>
          <w:sz w:val="24"/>
          <w:szCs w:val="24"/>
          <w:lang w:bidi="uk-UA"/>
        </w:rPr>
        <w:t>Зобов’язання</w:t>
      </w:r>
    </w:p>
    <w:p w:rsidR="00895A49" w:rsidRPr="00895A49" w:rsidRDefault="00895A49" w:rsidP="00895A49">
      <w:pPr>
        <w:widowControl w:val="0"/>
        <w:spacing w:after="0" w:line="240" w:lineRule="auto"/>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Кредиторська заборгованість визнається як зобов’язання тоді, коли Компанія стає стороною договору та, внаслідок цього, набуває юридичне зобов’язання сплатити грошові кошти.</w:t>
      </w:r>
    </w:p>
    <w:p w:rsidR="00895A49" w:rsidRPr="00895A49" w:rsidRDefault="00895A49" w:rsidP="00895A49">
      <w:pPr>
        <w:widowControl w:val="0"/>
        <w:spacing w:after="0" w:line="240" w:lineRule="auto"/>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Поточні зобов’язання — це зобов’язання, які відповідають одній або декільком із нижченаведених ознак:</w:t>
      </w:r>
    </w:p>
    <w:p w:rsidR="00895A49" w:rsidRPr="00895A49" w:rsidRDefault="00895A49" w:rsidP="00895A49">
      <w:pPr>
        <w:widowControl w:val="0"/>
        <w:numPr>
          <w:ilvl w:val="0"/>
          <w:numId w:val="5"/>
        </w:numPr>
        <w:tabs>
          <w:tab w:val="left" w:pos="1009"/>
        </w:tabs>
        <w:spacing w:after="0" w:line="240" w:lineRule="auto"/>
        <w:ind w:left="426" w:firstLine="0"/>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Керівництво Компанії сподівається погасити зобов'язання або зобов'язання підлягає погашенню протягом дванадцяти місяців після звітного періоду;</w:t>
      </w:r>
    </w:p>
    <w:p w:rsidR="00895A49" w:rsidRPr="00895A49" w:rsidRDefault="00895A49" w:rsidP="00895A49">
      <w:pPr>
        <w:widowControl w:val="0"/>
        <w:numPr>
          <w:ilvl w:val="0"/>
          <w:numId w:val="5"/>
        </w:numPr>
        <w:tabs>
          <w:tab w:val="left" w:pos="1009"/>
        </w:tabs>
        <w:spacing w:after="0" w:line="240" w:lineRule="auto"/>
        <w:ind w:left="426" w:firstLine="0"/>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Керівництво Компанії не має безумовного права відстрочити погашення зобов’язання протягом щонайменше дванадцяти місяців після звітного періоду.</w:t>
      </w:r>
    </w:p>
    <w:p w:rsidR="00895A49" w:rsidRPr="00895A49" w:rsidRDefault="00895A49" w:rsidP="00895A49">
      <w:pPr>
        <w:widowControl w:val="0"/>
        <w:spacing w:after="0" w:line="240" w:lineRule="auto"/>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Поточні зобов’язання визнаються за умови відповідності визначенню і критеріям визнання зобов’язань.</w:t>
      </w:r>
    </w:p>
    <w:p w:rsidR="00895A49" w:rsidRPr="00895A49" w:rsidRDefault="00895A49" w:rsidP="00895A49">
      <w:pPr>
        <w:widowControl w:val="0"/>
        <w:spacing w:after="0" w:line="240" w:lineRule="auto"/>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Поточні зобов’язання оцінюються у подальшому за амортизованою вартістю.</w:t>
      </w:r>
    </w:p>
    <w:p w:rsidR="00895A49" w:rsidRPr="00895A49" w:rsidRDefault="00895A49" w:rsidP="00895A49">
      <w:pPr>
        <w:widowControl w:val="0"/>
        <w:spacing w:after="0" w:line="240" w:lineRule="auto"/>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Поточну кредиторську заборгованість без встановленої ставки відсотка Компанія оцінює за сумою договору або первісного рахунку фактури, якщо вплив дисконтування є несуттєвим.</w:t>
      </w:r>
    </w:p>
    <w:p w:rsidR="00895A49" w:rsidRPr="00895A49" w:rsidRDefault="00895A49" w:rsidP="00895A49">
      <w:pPr>
        <w:pStyle w:val="af7"/>
        <w:widowControl w:val="0"/>
        <w:spacing w:after="0"/>
        <w:ind w:right="-28"/>
        <w:jc w:val="both"/>
        <w:rPr>
          <w:b/>
          <w:i/>
          <w:sz w:val="24"/>
          <w:szCs w:val="24"/>
        </w:rPr>
      </w:pPr>
      <w:r w:rsidRPr="00895A49">
        <w:rPr>
          <w:b/>
          <w:i/>
          <w:sz w:val="24"/>
          <w:szCs w:val="24"/>
        </w:rPr>
        <w:t>Забезпечення</w:t>
      </w:r>
    </w:p>
    <w:p w:rsidR="00895A49" w:rsidRPr="00895A49" w:rsidRDefault="00895A49" w:rsidP="00895A49">
      <w:pPr>
        <w:pStyle w:val="af7"/>
        <w:widowControl w:val="0"/>
        <w:spacing w:after="0"/>
        <w:ind w:right="-28"/>
        <w:jc w:val="both"/>
        <w:rPr>
          <w:sz w:val="24"/>
          <w:szCs w:val="24"/>
        </w:rPr>
      </w:pPr>
      <w:r w:rsidRPr="00895A49">
        <w:rPr>
          <w:sz w:val="24"/>
          <w:szCs w:val="24"/>
        </w:rPr>
        <w:t>Забезпечення визнаються, коли Компанія має теперішню заборгованість (юридичну або конструктивну) внаслідок минулої події, існує ймовірність, що погашення зобов’язання вимагатиме вибуття ресурсів, котрі втілюють у собі економічні вигоди, і можна достовірно оцінити суму зобов’язання.</w:t>
      </w:r>
    </w:p>
    <w:p w:rsidR="00895A49" w:rsidRPr="00895A49" w:rsidRDefault="00895A49" w:rsidP="00895A49">
      <w:pPr>
        <w:pStyle w:val="af7"/>
        <w:widowControl w:val="0"/>
        <w:spacing w:after="0"/>
        <w:ind w:right="-28"/>
        <w:jc w:val="both"/>
        <w:rPr>
          <w:sz w:val="24"/>
          <w:szCs w:val="24"/>
        </w:rPr>
      </w:pPr>
      <w:r w:rsidRPr="00895A49">
        <w:rPr>
          <w:sz w:val="24"/>
          <w:szCs w:val="24"/>
        </w:rPr>
        <w:t>Компанія створює забезпечення</w:t>
      </w:r>
      <w:r>
        <w:rPr>
          <w:sz w:val="24"/>
          <w:szCs w:val="24"/>
        </w:rPr>
        <w:t xml:space="preserve"> </w:t>
      </w:r>
      <w:r w:rsidRPr="00895A49">
        <w:rPr>
          <w:sz w:val="24"/>
          <w:szCs w:val="24"/>
        </w:rPr>
        <w:t>витрат на оплату щорічних (основних та додаткових) відпусток. Розрахунок такого забезпечення здійснюється на підставі правил Облікової політики Компанії. Розмір створеного забезпечення на оплату відпусток підлягає інвентаризації на кінець року. Розмір відрахувань до забезпечення</w:t>
      </w:r>
      <w:r>
        <w:rPr>
          <w:sz w:val="24"/>
          <w:szCs w:val="24"/>
        </w:rPr>
        <w:t xml:space="preserve"> </w:t>
      </w:r>
      <w:r w:rsidRPr="00895A49">
        <w:rPr>
          <w:sz w:val="24"/>
          <w:szCs w:val="24"/>
        </w:rPr>
        <w:t>відпусток, включаючи відрахування на соціальне страхування з цих сум, розраховуються виходячи з кількості днів фактичного невикористаної працівниками відпустки та їхнього середньоденного заробітку на момент проведення такого розрахунку. Також можуть враховуватися інші об</w:t>
      </w:r>
      <w:r w:rsidRPr="00895A49">
        <w:rPr>
          <w:sz w:val="24"/>
          <w:szCs w:val="24"/>
          <w:lang w:val="ru-RU"/>
        </w:rPr>
        <w:t>’</w:t>
      </w:r>
      <w:proofErr w:type="spellStart"/>
      <w:r w:rsidRPr="00895A49">
        <w:rPr>
          <w:sz w:val="24"/>
          <w:szCs w:val="24"/>
        </w:rPr>
        <w:t>єктивні</w:t>
      </w:r>
      <w:proofErr w:type="spellEnd"/>
      <w:r w:rsidRPr="00895A49">
        <w:rPr>
          <w:sz w:val="24"/>
          <w:szCs w:val="24"/>
        </w:rPr>
        <w:t xml:space="preserve"> фактори, що впливають на розрахунок цього показника. У разі необхідності робиться </w:t>
      </w:r>
      <w:proofErr w:type="spellStart"/>
      <w:r w:rsidRPr="00895A49">
        <w:rPr>
          <w:sz w:val="24"/>
          <w:szCs w:val="24"/>
        </w:rPr>
        <w:t>коригуюча</w:t>
      </w:r>
      <w:proofErr w:type="spellEnd"/>
      <w:r w:rsidRPr="00895A49">
        <w:rPr>
          <w:sz w:val="24"/>
          <w:szCs w:val="24"/>
        </w:rPr>
        <w:t xml:space="preserve"> проводка в бухгалтерському обліку згідно даних інвентаризації забезпечення</w:t>
      </w:r>
      <w:r>
        <w:rPr>
          <w:sz w:val="24"/>
          <w:szCs w:val="24"/>
        </w:rPr>
        <w:t xml:space="preserve"> </w:t>
      </w:r>
      <w:r w:rsidRPr="00895A49">
        <w:rPr>
          <w:sz w:val="24"/>
          <w:szCs w:val="24"/>
        </w:rPr>
        <w:t>відпусток.</w:t>
      </w:r>
    </w:p>
    <w:p w:rsidR="00895A49" w:rsidRPr="00895A49" w:rsidRDefault="00895A49" w:rsidP="00895A49">
      <w:pPr>
        <w:pStyle w:val="af7"/>
        <w:widowControl w:val="0"/>
        <w:spacing w:after="0"/>
        <w:ind w:right="-28"/>
        <w:jc w:val="both"/>
        <w:rPr>
          <w:sz w:val="24"/>
          <w:szCs w:val="24"/>
        </w:rPr>
      </w:pPr>
      <w:r w:rsidRPr="00895A49">
        <w:rPr>
          <w:sz w:val="24"/>
          <w:szCs w:val="24"/>
        </w:rPr>
        <w:t>Забезпечення можуть створюватись і у інших випадках, якщо за результатами минулих подій вибуття економічних вигід у майбутньому є ймовірним</w:t>
      </w:r>
    </w:p>
    <w:p w:rsidR="00895A49" w:rsidRPr="00895A49" w:rsidRDefault="00895A49" w:rsidP="00895A49">
      <w:pPr>
        <w:pStyle w:val="3"/>
        <w:widowControl w:val="0"/>
        <w:pBdr>
          <w:top w:val="none" w:sz="0" w:space="0" w:color="auto"/>
          <w:bottom w:val="none" w:sz="0" w:space="0" w:color="auto"/>
        </w:pBdr>
        <w:spacing w:before="0"/>
        <w:jc w:val="both"/>
        <w:rPr>
          <w:rFonts w:ascii="Times New Roman" w:hAnsi="Times New Roman"/>
          <w:b/>
          <w:i/>
          <w:caps w:val="0"/>
          <w:color w:val="auto"/>
        </w:rPr>
      </w:pPr>
      <w:r w:rsidRPr="00895A49">
        <w:rPr>
          <w:rFonts w:ascii="Times New Roman" w:hAnsi="Times New Roman"/>
          <w:b/>
          <w:i/>
          <w:caps w:val="0"/>
          <w:color w:val="auto"/>
        </w:rPr>
        <w:t>(в) Грошові кошти та їх еквіваленти</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Грошові кошти та їх еквіваленти є статтями, які легко конвертуються в певну суму наявних коштів і підпадають незначній зміні вартості. Суми, у відношенні яких є які-небудь обмеження на </w:t>
      </w:r>
      <w:r w:rsidRPr="00895A49">
        <w:rPr>
          <w:rFonts w:ascii="Times New Roman" w:hAnsi="Times New Roman" w:cs="Times New Roman"/>
          <w:sz w:val="24"/>
          <w:szCs w:val="24"/>
        </w:rPr>
        <w:lastRenderedPageBreak/>
        <w:t xml:space="preserve">їхнє використання, виключаються зі складу грошових коштів та їх еквівалентів. Компанія включає до складу грошових коштів та їх еквівалентів готівкові кошти й залишки на банківських рахунках, включаючи </w:t>
      </w:r>
      <w:r w:rsidRPr="00895A49">
        <w:rPr>
          <w:rFonts w:ascii="Times New Roman" w:hAnsi="Times New Roman" w:cs="Times New Roman"/>
          <w:color w:val="000000"/>
          <w:sz w:val="24"/>
          <w:szCs w:val="24"/>
          <w:lang w:bidi="uk-UA"/>
        </w:rPr>
        <w:t>банківські депозити зі строком погашення до трьох місяців</w:t>
      </w:r>
      <w:r w:rsidRPr="00895A49">
        <w:rPr>
          <w:rFonts w:ascii="Times New Roman" w:hAnsi="Times New Roman" w:cs="Times New Roman"/>
          <w:sz w:val="24"/>
          <w:szCs w:val="24"/>
        </w:rPr>
        <w:t>.</w:t>
      </w:r>
    </w:p>
    <w:p w:rsidR="00895A49" w:rsidRPr="00895A49" w:rsidRDefault="00895A49" w:rsidP="00895A49">
      <w:pPr>
        <w:widowControl w:val="0"/>
        <w:spacing w:after="0" w:line="240" w:lineRule="auto"/>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Компанія визнає банківські депозити зі строком погашення до трьох місяців з дати фінансової звітності, в разі, якщо дострокове погашення таких депозитів ймовірно призведе до значних фінансових втрат, в складі поточних фінансових інвестицій.</w:t>
      </w:r>
    </w:p>
    <w:p w:rsidR="00895A49" w:rsidRPr="00895A49" w:rsidRDefault="00895A49" w:rsidP="00895A49">
      <w:pPr>
        <w:pStyle w:val="3"/>
        <w:widowControl w:val="0"/>
        <w:pBdr>
          <w:top w:val="none" w:sz="0" w:space="0" w:color="auto"/>
          <w:bottom w:val="none" w:sz="0" w:space="0" w:color="auto"/>
        </w:pBdr>
        <w:spacing w:before="0"/>
        <w:jc w:val="both"/>
        <w:rPr>
          <w:rFonts w:ascii="Times New Roman" w:hAnsi="Times New Roman"/>
          <w:b/>
          <w:i/>
          <w:caps w:val="0"/>
          <w:color w:val="auto"/>
        </w:rPr>
      </w:pPr>
      <w:r w:rsidRPr="00895A49">
        <w:rPr>
          <w:rFonts w:ascii="Times New Roman" w:hAnsi="Times New Roman"/>
          <w:b/>
          <w:i/>
          <w:caps w:val="0"/>
          <w:color w:val="auto"/>
        </w:rPr>
        <w:t>(г) Фінансові інструменти</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і) Визнання та класифікація</w:t>
      </w:r>
      <w:r>
        <w:rPr>
          <w:rFonts w:ascii="Times New Roman" w:hAnsi="Times New Roman" w:cs="Times New Roman"/>
          <w:b/>
          <w:i/>
          <w:sz w:val="24"/>
          <w:szCs w:val="24"/>
        </w:rPr>
        <w:t xml:space="preserve"> </w:t>
      </w:r>
      <w:r w:rsidRPr="00895A49">
        <w:rPr>
          <w:rFonts w:ascii="Times New Roman" w:hAnsi="Times New Roman" w:cs="Times New Roman"/>
          <w:b/>
          <w:i/>
          <w:sz w:val="24"/>
          <w:szCs w:val="24"/>
        </w:rPr>
        <w:t xml:space="preserve">фінансових інструментів </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bCs/>
          <w:sz w:val="24"/>
          <w:szCs w:val="24"/>
        </w:rPr>
        <w:t xml:space="preserve">Фінансові активи та фінансові зобов’язання визнаються у звіті про фінансовий стан у той момент, коли </w:t>
      </w:r>
      <w:r w:rsidRPr="00895A49">
        <w:rPr>
          <w:rFonts w:ascii="Times New Roman" w:hAnsi="Times New Roman" w:cs="Times New Roman"/>
          <w:sz w:val="24"/>
          <w:szCs w:val="24"/>
        </w:rPr>
        <w:t xml:space="preserve">Компанія </w:t>
      </w:r>
      <w:r w:rsidRPr="00895A49">
        <w:rPr>
          <w:rFonts w:ascii="Times New Roman" w:hAnsi="Times New Roman" w:cs="Times New Roman"/>
          <w:bCs/>
          <w:sz w:val="24"/>
          <w:szCs w:val="24"/>
        </w:rPr>
        <w:t xml:space="preserve">стає сторонами в контрактних взаємовідносинах стосовно відповідного інструмента. Звичайні операції придбання та реалізації фінансових активів і зобов’язань визнаються із використанням методу обліку на дату розрахунків. Датою розрахунків є дата, коли актив доставляється до або відправляється від </w:t>
      </w:r>
      <w:r w:rsidRPr="00895A49">
        <w:rPr>
          <w:rFonts w:ascii="Times New Roman" w:hAnsi="Times New Roman" w:cs="Times New Roman"/>
          <w:sz w:val="24"/>
          <w:szCs w:val="24"/>
        </w:rPr>
        <w:t>Компанії</w:t>
      </w:r>
      <w:r w:rsidRPr="00895A49">
        <w:rPr>
          <w:rFonts w:ascii="Times New Roman" w:hAnsi="Times New Roman" w:cs="Times New Roman"/>
          <w:bCs/>
          <w:sz w:val="24"/>
          <w:szCs w:val="24"/>
        </w:rPr>
        <w:t>. Облік на дату розрахунків передбачає:</w:t>
      </w:r>
    </w:p>
    <w:p w:rsidR="00895A49" w:rsidRPr="00895A49" w:rsidRDefault="00895A49" w:rsidP="00895A49">
      <w:pPr>
        <w:pStyle w:val="ac"/>
        <w:widowControl w:val="0"/>
        <w:numPr>
          <w:ilvl w:val="0"/>
          <w:numId w:val="6"/>
        </w:numPr>
        <w:ind w:left="567"/>
        <w:contextualSpacing w:val="0"/>
        <w:jc w:val="both"/>
        <w:rPr>
          <w:bCs/>
        </w:rPr>
      </w:pPr>
      <w:r w:rsidRPr="00895A49">
        <w:rPr>
          <w:bCs/>
        </w:rPr>
        <w:t>визнання активу в день його отримання;</w:t>
      </w:r>
    </w:p>
    <w:p w:rsidR="00895A49" w:rsidRPr="00895A49" w:rsidRDefault="00895A49" w:rsidP="00895A49">
      <w:pPr>
        <w:pStyle w:val="ac"/>
        <w:widowControl w:val="0"/>
        <w:numPr>
          <w:ilvl w:val="0"/>
          <w:numId w:val="6"/>
        </w:numPr>
        <w:ind w:left="567"/>
        <w:contextualSpacing w:val="0"/>
        <w:jc w:val="both"/>
        <w:rPr>
          <w:bCs/>
        </w:rPr>
      </w:pPr>
      <w:r w:rsidRPr="00895A49">
        <w:rPr>
          <w:bCs/>
        </w:rPr>
        <w:t xml:space="preserve">припинення визнання активу та визнання будь-якого прибутку або збитку від вибуття у день, коли </w:t>
      </w:r>
      <w:r w:rsidRPr="00895A49">
        <w:t xml:space="preserve">Компанія </w:t>
      </w:r>
      <w:r w:rsidRPr="00895A49">
        <w:rPr>
          <w:bCs/>
        </w:rPr>
        <w:t xml:space="preserve">позбавляється активу. </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sz w:val="24"/>
          <w:szCs w:val="24"/>
        </w:rPr>
        <w:t xml:space="preserve">Компанія </w:t>
      </w:r>
      <w:r w:rsidRPr="00895A49">
        <w:rPr>
          <w:rFonts w:ascii="Times New Roman" w:hAnsi="Times New Roman" w:cs="Times New Roman"/>
          <w:bCs/>
          <w:sz w:val="24"/>
          <w:szCs w:val="24"/>
        </w:rPr>
        <w:t xml:space="preserve">класифікує фінансові активи як такі, що оцінюються у подальшому або за амортизованою собівартістю, або за справедливою вартістю на основі обох таких чинників: </w:t>
      </w:r>
    </w:p>
    <w:p w:rsidR="00895A49" w:rsidRPr="00895A49" w:rsidRDefault="00895A49" w:rsidP="00895A49">
      <w:pPr>
        <w:widowControl w:val="0"/>
        <w:spacing w:after="0" w:line="240" w:lineRule="auto"/>
        <w:ind w:firstLine="284"/>
        <w:jc w:val="both"/>
        <w:rPr>
          <w:rFonts w:ascii="Times New Roman" w:hAnsi="Times New Roman" w:cs="Times New Roman"/>
          <w:bCs/>
          <w:sz w:val="24"/>
          <w:szCs w:val="24"/>
        </w:rPr>
      </w:pPr>
      <w:r w:rsidRPr="00895A49">
        <w:rPr>
          <w:rFonts w:ascii="Times New Roman" w:hAnsi="Times New Roman" w:cs="Times New Roman"/>
          <w:bCs/>
          <w:sz w:val="24"/>
          <w:szCs w:val="24"/>
        </w:rPr>
        <w:t>а) моделі бізнесу суб’єкта господарювання для управління фінансовими активами; та</w:t>
      </w:r>
    </w:p>
    <w:p w:rsidR="00895A49" w:rsidRPr="00895A49" w:rsidRDefault="00895A49" w:rsidP="00895A49">
      <w:pPr>
        <w:widowControl w:val="0"/>
        <w:spacing w:after="0" w:line="240" w:lineRule="auto"/>
        <w:ind w:firstLine="284"/>
        <w:jc w:val="both"/>
        <w:rPr>
          <w:rFonts w:ascii="Times New Roman" w:hAnsi="Times New Roman" w:cs="Times New Roman"/>
          <w:bCs/>
          <w:sz w:val="24"/>
          <w:szCs w:val="24"/>
        </w:rPr>
      </w:pPr>
      <w:r w:rsidRPr="00895A49">
        <w:rPr>
          <w:rFonts w:ascii="Times New Roman" w:hAnsi="Times New Roman" w:cs="Times New Roman"/>
          <w:bCs/>
          <w:sz w:val="24"/>
          <w:szCs w:val="24"/>
        </w:rPr>
        <w:t>б) характеристик конкретних грошових потоків фінансового активу.</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sz w:val="24"/>
          <w:szCs w:val="24"/>
        </w:rPr>
        <w:t xml:space="preserve">Компанія </w:t>
      </w:r>
      <w:r w:rsidRPr="00895A49">
        <w:rPr>
          <w:rFonts w:ascii="Times New Roman" w:hAnsi="Times New Roman" w:cs="Times New Roman"/>
          <w:bCs/>
          <w:sz w:val="24"/>
          <w:szCs w:val="24"/>
        </w:rPr>
        <w:t>визнає такі категорії фінансових активів та фінансових зобов’язань:</w:t>
      </w:r>
    </w:p>
    <w:p w:rsidR="00895A49" w:rsidRPr="00895A49" w:rsidRDefault="00895A49" w:rsidP="00895A49">
      <w:pPr>
        <w:pStyle w:val="ac"/>
        <w:widowControl w:val="0"/>
        <w:numPr>
          <w:ilvl w:val="0"/>
          <w:numId w:val="7"/>
        </w:numPr>
        <w:ind w:left="709"/>
        <w:contextualSpacing w:val="0"/>
        <w:jc w:val="both"/>
        <w:rPr>
          <w:bCs/>
        </w:rPr>
      </w:pPr>
      <w:r w:rsidRPr="00895A49">
        <w:rPr>
          <w:bCs/>
        </w:rPr>
        <w:t>такі, що оцінюються за справедливою вартістю, з відображенням результату переоцінки у прибутку або збитку;</w:t>
      </w:r>
    </w:p>
    <w:p w:rsidR="00895A49" w:rsidRPr="00895A49" w:rsidRDefault="00895A49" w:rsidP="00895A49">
      <w:pPr>
        <w:pStyle w:val="ac"/>
        <w:widowControl w:val="0"/>
        <w:numPr>
          <w:ilvl w:val="0"/>
          <w:numId w:val="7"/>
        </w:numPr>
        <w:ind w:left="709"/>
        <w:contextualSpacing w:val="0"/>
        <w:jc w:val="both"/>
        <w:rPr>
          <w:bCs/>
        </w:rPr>
      </w:pPr>
      <w:r w:rsidRPr="00895A49">
        <w:rPr>
          <w:bCs/>
        </w:rPr>
        <w:t>такі, що оцінюються за амортизованою собівартістю.</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sz w:val="24"/>
          <w:szCs w:val="24"/>
        </w:rPr>
        <w:t xml:space="preserve">Компанія </w:t>
      </w:r>
      <w:r w:rsidRPr="00895A49">
        <w:rPr>
          <w:rFonts w:ascii="Times New Roman" w:hAnsi="Times New Roman" w:cs="Times New Roman"/>
          <w:bCs/>
          <w:sz w:val="24"/>
          <w:szCs w:val="24"/>
        </w:rPr>
        <w:t>не володіє фінансовими активами, які б обліковувались за справедливою вартістю з відображенням результату переоцінки у іншому сукупному прибутку.</w:t>
      </w:r>
    </w:p>
    <w:p w:rsidR="00895A49" w:rsidRPr="00895A49" w:rsidRDefault="00895A49" w:rsidP="00895A49">
      <w:pPr>
        <w:pStyle w:val="af7"/>
        <w:widowControl w:val="0"/>
        <w:spacing w:after="0"/>
        <w:rPr>
          <w:bCs/>
          <w:sz w:val="24"/>
          <w:szCs w:val="24"/>
        </w:rPr>
      </w:pPr>
      <w:r w:rsidRPr="00895A49">
        <w:rPr>
          <w:bCs/>
          <w:sz w:val="24"/>
          <w:szCs w:val="24"/>
        </w:rPr>
        <w:t xml:space="preserve">Фінансові активи та фінансові зобов’язання </w:t>
      </w:r>
      <w:r w:rsidRPr="00895A49">
        <w:rPr>
          <w:sz w:val="24"/>
          <w:szCs w:val="24"/>
        </w:rPr>
        <w:t>Компанії</w:t>
      </w:r>
      <w:r>
        <w:rPr>
          <w:sz w:val="24"/>
          <w:szCs w:val="24"/>
        </w:rPr>
        <w:t xml:space="preserve"> </w:t>
      </w:r>
      <w:r w:rsidRPr="00895A49">
        <w:rPr>
          <w:bCs/>
          <w:sz w:val="24"/>
          <w:szCs w:val="24"/>
        </w:rPr>
        <w:t xml:space="preserve">представлені грошовими коштами та їхніми еквівалентами, торговельною та іншою дебіторською заборгованістю, а також торговельною та іншою кредиторською заборгованістю. </w:t>
      </w:r>
    </w:p>
    <w:p w:rsidR="00895A49" w:rsidRPr="00895A49" w:rsidRDefault="00895A49" w:rsidP="00895A49">
      <w:pPr>
        <w:pStyle w:val="af7"/>
        <w:widowControl w:val="0"/>
        <w:spacing w:after="0"/>
        <w:rPr>
          <w:b/>
          <w:i/>
          <w:sz w:val="24"/>
          <w:szCs w:val="24"/>
        </w:rPr>
      </w:pPr>
      <w:r w:rsidRPr="00895A49">
        <w:rPr>
          <w:b/>
          <w:i/>
          <w:sz w:val="24"/>
          <w:szCs w:val="24"/>
        </w:rPr>
        <w:t>іі) Оцінка вартості фінансових інструментів</w:t>
      </w:r>
    </w:p>
    <w:p w:rsidR="00895A49" w:rsidRPr="00895A49" w:rsidRDefault="00895A49" w:rsidP="00895A49">
      <w:pPr>
        <w:pStyle w:val="af7"/>
        <w:widowControl w:val="0"/>
        <w:spacing w:after="0"/>
        <w:jc w:val="both"/>
        <w:rPr>
          <w:sz w:val="24"/>
          <w:szCs w:val="24"/>
        </w:rPr>
      </w:pPr>
      <w:r w:rsidRPr="00895A49">
        <w:rPr>
          <w:sz w:val="24"/>
          <w:szCs w:val="24"/>
        </w:rPr>
        <w:t>Фінансові активи та фінансові зобов’язання первісно оцінюються за справедливою вартістю.</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bCs/>
          <w:sz w:val="24"/>
          <w:szCs w:val="24"/>
        </w:rPr>
        <w:t>Витрати на здійснення операції, які безпосередньо стосуються придбання або випуску фінансових активів та фінансових зобов’язань (окрім фінансових активів та фінансових зобов’язань за справедливою вартістю, із відображенням переоцінки у складі прибутку або збитку), додаються до або вираховуються зі справедливої вартості фінансових активів або фінансових зобов’язань, відповідно, на момент первісного визнання. Витрати на здійснення операції, які безпосередньо стосуються придбання фінансових активів або фінансових зобов’язань, які оцінюються за справедливою вартістю, із відображенням переоцінки у складі прибутку або збитку, визнаються негайно у складі прибутку або збитку.</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bCs/>
          <w:sz w:val="24"/>
          <w:szCs w:val="24"/>
        </w:rPr>
        <w:t xml:space="preserve">Метод ефективної відсоткової ставки є методом розрахунку амортизованої вартості боргового інструменту та розподілу доходів з відсотків протягом відповідного періоду. Ефективна відсоткова ставка являє собою ставку, яка точно дисконтує очікувані майбутні надходження грошових коштів (у тому числі усі гонорари за договорами сплачені або отримані, які становлять невід’ємну частину ефективної відсоткової ставки, витрати на здійснення операції та інші премії або дисконти) протягом очікуваного строку використання боргового інструменту або, коли доцільно, коротшого періоду до чистої балансової вартості на момент первісного визнання. </w:t>
      </w:r>
    </w:p>
    <w:p w:rsidR="00895A49" w:rsidRPr="00895A49" w:rsidRDefault="00895A49" w:rsidP="00895A49">
      <w:pPr>
        <w:pStyle w:val="af7"/>
        <w:widowControl w:val="0"/>
        <w:spacing w:after="0"/>
        <w:jc w:val="both"/>
        <w:rPr>
          <w:b/>
          <w:i/>
          <w:sz w:val="24"/>
          <w:szCs w:val="24"/>
        </w:rPr>
      </w:pPr>
    </w:p>
    <w:p w:rsidR="00895A49" w:rsidRPr="00895A49" w:rsidRDefault="00895A49" w:rsidP="00895A49">
      <w:pPr>
        <w:pStyle w:val="af7"/>
        <w:widowControl w:val="0"/>
        <w:spacing w:after="0"/>
        <w:jc w:val="both"/>
        <w:rPr>
          <w:b/>
          <w:i/>
          <w:sz w:val="24"/>
          <w:szCs w:val="24"/>
        </w:rPr>
      </w:pPr>
      <w:r w:rsidRPr="00895A49">
        <w:rPr>
          <w:b/>
          <w:i/>
          <w:sz w:val="24"/>
          <w:szCs w:val="24"/>
        </w:rPr>
        <w:t>ііі) Принцип оцінки за справедливою вартістю</w:t>
      </w:r>
    </w:p>
    <w:p w:rsidR="00895A49" w:rsidRPr="00895A49" w:rsidRDefault="00895A49" w:rsidP="00895A49">
      <w:pPr>
        <w:pStyle w:val="af7"/>
        <w:widowControl w:val="0"/>
        <w:spacing w:after="0"/>
        <w:jc w:val="both"/>
        <w:rPr>
          <w:sz w:val="24"/>
          <w:szCs w:val="24"/>
        </w:rPr>
      </w:pPr>
      <w:r w:rsidRPr="00895A49">
        <w:rPr>
          <w:sz w:val="24"/>
          <w:szCs w:val="24"/>
        </w:rPr>
        <w:t>Справедлива вартість являє собою вартість, за якою актив може бути обмінений (зобов’язання може бути погашене) між добре обізнаними, дійсно бажаючих здійснити таку угоду, незалежними одна від одної сторонами станом на дату визначення вартості.</w:t>
      </w:r>
    </w:p>
    <w:p w:rsidR="00895A49" w:rsidRPr="00895A49" w:rsidRDefault="00895A49" w:rsidP="00895A49">
      <w:pPr>
        <w:pStyle w:val="af7"/>
        <w:widowControl w:val="0"/>
        <w:spacing w:after="0"/>
        <w:jc w:val="both"/>
        <w:rPr>
          <w:sz w:val="24"/>
          <w:szCs w:val="24"/>
        </w:rPr>
      </w:pPr>
      <w:r w:rsidRPr="00895A49">
        <w:rPr>
          <w:sz w:val="24"/>
          <w:szCs w:val="24"/>
        </w:rPr>
        <w:lastRenderedPageBreak/>
        <w:t>Наскільки можливо Компанія оцінює справедливу вартість інструменту з використанням котирувань даного інструменту на активному ринку. Ринок признається активним у випадку, якщо котирування легкодоступні та відображають фактичні та регулярні угоди між незалежними учасниками ринку.</w:t>
      </w:r>
    </w:p>
    <w:p w:rsidR="00895A49" w:rsidRPr="00895A49" w:rsidRDefault="00895A49" w:rsidP="00895A49">
      <w:pPr>
        <w:pStyle w:val="af7"/>
        <w:widowControl w:val="0"/>
        <w:spacing w:after="0"/>
        <w:jc w:val="both"/>
        <w:rPr>
          <w:sz w:val="24"/>
          <w:szCs w:val="24"/>
        </w:rPr>
      </w:pPr>
      <w:r w:rsidRPr="00895A49">
        <w:rPr>
          <w:sz w:val="24"/>
          <w:szCs w:val="24"/>
        </w:rPr>
        <w:t xml:space="preserve">В разі відсутності активного ринку, Компанія визначає справедливу вартість з використанням методів оцінки. </w:t>
      </w:r>
    </w:p>
    <w:p w:rsidR="00895A49" w:rsidRPr="00895A49" w:rsidRDefault="00895A49" w:rsidP="00895A49">
      <w:pPr>
        <w:pStyle w:val="af7"/>
        <w:widowControl w:val="0"/>
        <w:spacing w:after="0"/>
        <w:jc w:val="both"/>
        <w:rPr>
          <w:b/>
          <w:i/>
          <w:sz w:val="24"/>
          <w:szCs w:val="24"/>
        </w:rPr>
      </w:pPr>
      <w:r w:rsidRPr="00895A49">
        <w:rPr>
          <w:b/>
          <w:i/>
          <w:sz w:val="24"/>
          <w:szCs w:val="24"/>
        </w:rPr>
        <w:t>і</w:t>
      </w:r>
      <w:r w:rsidRPr="00895A49">
        <w:rPr>
          <w:b/>
          <w:i/>
          <w:sz w:val="24"/>
          <w:szCs w:val="24"/>
          <w:lang w:val="en-US"/>
        </w:rPr>
        <w:t>v</w:t>
      </w:r>
      <w:r w:rsidRPr="00895A49">
        <w:rPr>
          <w:b/>
          <w:i/>
          <w:sz w:val="24"/>
          <w:szCs w:val="24"/>
        </w:rPr>
        <w:t>) Принцип оцінки за амортизованою вартістю</w:t>
      </w:r>
    </w:p>
    <w:p w:rsidR="00895A49" w:rsidRPr="00895A49" w:rsidRDefault="00895A49" w:rsidP="00895A49">
      <w:pPr>
        <w:pStyle w:val="af7"/>
        <w:widowControl w:val="0"/>
        <w:spacing w:after="0"/>
        <w:jc w:val="both"/>
        <w:rPr>
          <w:sz w:val="24"/>
          <w:szCs w:val="24"/>
        </w:rPr>
      </w:pPr>
      <w:r w:rsidRPr="00895A49">
        <w:rPr>
          <w:sz w:val="24"/>
          <w:szCs w:val="24"/>
        </w:rPr>
        <w:t>Фінансовий актив оцінюється за амортизованою собівартістю, якщо він отримується з метою одержання договірних грошових потоків і договірні умови фінансового активу генерують грошові потоки, котрі є суто виплатами основної суми та процентів на непогашену частку основної суми.</w:t>
      </w:r>
      <w:r>
        <w:rPr>
          <w:sz w:val="24"/>
          <w:szCs w:val="24"/>
        </w:rPr>
        <w:t xml:space="preserve"> </w:t>
      </w:r>
      <w:r w:rsidRPr="00895A49">
        <w:rPr>
          <w:sz w:val="24"/>
          <w:szCs w:val="24"/>
        </w:rPr>
        <w:t>Компанія визнає резерв під очікувані кредитні збитки за фінансовим активом, який обліковується за амортизованою вартістю.</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lang w:val="en-US"/>
        </w:rPr>
        <w:t>v</w:t>
      </w:r>
      <w:r w:rsidRPr="00895A49">
        <w:rPr>
          <w:rFonts w:ascii="Times New Roman" w:hAnsi="Times New Roman" w:cs="Times New Roman"/>
          <w:b/>
          <w:i/>
          <w:sz w:val="24"/>
          <w:szCs w:val="24"/>
        </w:rPr>
        <w:t>) Очікувані кредитні збитки щодо</w:t>
      </w:r>
      <w:r>
        <w:rPr>
          <w:rFonts w:ascii="Times New Roman" w:hAnsi="Times New Roman" w:cs="Times New Roman"/>
          <w:b/>
          <w:i/>
          <w:sz w:val="24"/>
          <w:szCs w:val="24"/>
        </w:rPr>
        <w:t xml:space="preserve"> </w:t>
      </w:r>
      <w:r w:rsidRPr="00895A49">
        <w:rPr>
          <w:rFonts w:ascii="Times New Roman" w:hAnsi="Times New Roman" w:cs="Times New Roman"/>
          <w:b/>
          <w:i/>
          <w:sz w:val="24"/>
          <w:szCs w:val="24"/>
        </w:rPr>
        <w:t xml:space="preserve">фінансових інструментів </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bCs/>
          <w:sz w:val="24"/>
          <w:szCs w:val="24"/>
        </w:rPr>
        <w:t xml:space="preserve">Компанія створює резерв під </w:t>
      </w:r>
      <w:proofErr w:type="spellStart"/>
      <w:r w:rsidRPr="00895A49">
        <w:rPr>
          <w:rFonts w:ascii="Times New Roman" w:hAnsi="Times New Roman" w:cs="Times New Roman"/>
          <w:bCs/>
          <w:sz w:val="24"/>
          <w:szCs w:val="24"/>
        </w:rPr>
        <w:t>ОКЗ</w:t>
      </w:r>
      <w:proofErr w:type="spellEnd"/>
      <w:r w:rsidRPr="00895A49">
        <w:rPr>
          <w:rFonts w:ascii="Times New Roman" w:hAnsi="Times New Roman" w:cs="Times New Roman"/>
          <w:bCs/>
          <w:sz w:val="24"/>
          <w:szCs w:val="24"/>
        </w:rPr>
        <w:t xml:space="preserve"> щодо всіх фінансових активів крім тих, які оцінюються за</w:t>
      </w:r>
      <w:r>
        <w:rPr>
          <w:rFonts w:ascii="Times New Roman" w:hAnsi="Times New Roman" w:cs="Times New Roman"/>
          <w:bCs/>
          <w:sz w:val="24"/>
          <w:szCs w:val="24"/>
        </w:rPr>
        <w:t xml:space="preserve"> </w:t>
      </w:r>
      <w:r w:rsidRPr="00895A49">
        <w:rPr>
          <w:rFonts w:ascii="Times New Roman" w:hAnsi="Times New Roman" w:cs="Times New Roman"/>
          <w:bCs/>
          <w:sz w:val="24"/>
          <w:szCs w:val="24"/>
        </w:rPr>
        <w:t>справедливою вартістю через прибутки/збитки, за розрахунків з пов’язаними особами, а також щодо зобов'язань по наданню позик і договорів</w:t>
      </w:r>
      <w:r>
        <w:rPr>
          <w:rFonts w:ascii="Times New Roman" w:hAnsi="Times New Roman" w:cs="Times New Roman"/>
          <w:bCs/>
          <w:sz w:val="24"/>
          <w:szCs w:val="24"/>
        </w:rPr>
        <w:t xml:space="preserve"> </w:t>
      </w:r>
      <w:r w:rsidRPr="00895A49">
        <w:rPr>
          <w:rFonts w:ascii="Times New Roman" w:hAnsi="Times New Roman" w:cs="Times New Roman"/>
          <w:bCs/>
          <w:sz w:val="24"/>
          <w:szCs w:val="24"/>
        </w:rPr>
        <w:t>фінансової гарантії. Такий резерв під знецінення ґрунтується на величині очікуваних кредитних</w:t>
      </w:r>
      <w:r>
        <w:rPr>
          <w:rFonts w:ascii="Times New Roman" w:hAnsi="Times New Roman" w:cs="Times New Roman"/>
          <w:bCs/>
          <w:sz w:val="24"/>
          <w:szCs w:val="24"/>
        </w:rPr>
        <w:t xml:space="preserve"> </w:t>
      </w:r>
      <w:r w:rsidRPr="00895A49">
        <w:rPr>
          <w:rFonts w:ascii="Times New Roman" w:hAnsi="Times New Roman" w:cs="Times New Roman"/>
          <w:bCs/>
          <w:sz w:val="24"/>
          <w:szCs w:val="24"/>
        </w:rPr>
        <w:t xml:space="preserve">збитків, пов'язаних з ймовірністю </w:t>
      </w:r>
      <w:proofErr w:type="spellStart"/>
      <w:r w:rsidRPr="00895A49">
        <w:rPr>
          <w:rFonts w:ascii="Times New Roman" w:hAnsi="Times New Roman" w:cs="Times New Roman"/>
          <w:bCs/>
          <w:sz w:val="24"/>
          <w:szCs w:val="24"/>
        </w:rPr>
        <w:t>дефолту</w:t>
      </w:r>
      <w:proofErr w:type="spellEnd"/>
      <w:r w:rsidRPr="00895A49">
        <w:rPr>
          <w:rFonts w:ascii="Times New Roman" w:hAnsi="Times New Roman" w:cs="Times New Roman"/>
          <w:bCs/>
          <w:sz w:val="24"/>
          <w:szCs w:val="24"/>
        </w:rPr>
        <w:t xml:space="preserve"> протягом наступних 12 місяців, якщо не відбулося</w:t>
      </w:r>
      <w:r>
        <w:rPr>
          <w:rFonts w:ascii="Times New Roman" w:hAnsi="Times New Roman" w:cs="Times New Roman"/>
          <w:bCs/>
          <w:sz w:val="24"/>
          <w:szCs w:val="24"/>
        </w:rPr>
        <w:t xml:space="preserve"> </w:t>
      </w:r>
      <w:r w:rsidRPr="00895A49">
        <w:rPr>
          <w:rFonts w:ascii="Times New Roman" w:hAnsi="Times New Roman" w:cs="Times New Roman"/>
          <w:bCs/>
          <w:sz w:val="24"/>
          <w:szCs w:val="24"/>
        </w:rPr>
        <w:t>значного збільшення кредитного ризику з моменту первісного визнання за індивідуальними оцінками.</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bCs/>
          <w:sz w:val="24"/>
          <w:szCs w:val="24"/>
        </w:rPr>
        <w:t>Компанія застосовує спрощений підхід до визнання очікуваних кредитних збитків на весь строк</w:t>
      </w:r>
      <w:r>
        <w:rPr>
          <w:rFonts w:ascii="Times New Roman" w:hAnsi="Times New Roman" w:cs="Times New Roman"/>
          <w:bCs/>
          <w:sz w:val="24"/>
          <w:szCs w:val="24"/>
        </w:rPr>
        <w:t xml:space="preserve"> </w:t>
      </w:r>
      <w:r w:rsidRPr="00895A49">
        <w:rPr>
          <w:rFonts w:ascii="Times New Roman" w:hAnsi="Times New Roman" w:cs="Times New Roman"/>
          <w:bCs/>
          <w:sz w:val="24"/>
          <w:szCs w:val="24"/>
        </w:rPr>
        <w:t>дії торгової та іншої дебіторської заборгованості згідно з МСФЗ 9. Компанія відображає очікувані кредитні збитки та зміни очікуваних кредитних втрат на кожну звітну дату, щоб</w:t>
      </w:r>
      <w:r>
        <w:rPr>
          <w:rFonts w:ascii="Times New Roman" w:hAnsi="Times New Roman" w:cs="Times New Roman"/>
          <w:bCs/>
          <w:sz w:val="24"/>
          <w:szCs w:val="24"/>
        </w:rPr>
        <w:t xml:space="preserve"> </w:t>
      </w:r>
      <w:r w:rsidRPr="00895A49">
        <w:rPr>
          <w:rFonts w:ascii="Times New Roman" w:hAnsi="Times New Roman" w:cs="Times New Roman"/>
          <w:bCs/>
          <w:sz w:val="24"/>
          <w:szCs w:val="24"/>
        </w:rPr>
        <w:t>відобразити зміни в кредитному ризику після первісного визнання.</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bCs/>
          <w:sz w:val="24"/>
          <w:szCs w:val="24"/>
        </w:rPr>
        <w:t>При визначенні того, чи збільшився кредитний ризик фінансового активу з моменту первісного</w:t>
      </w:r>
      <w:r>
        <w:rPr>
          <w:rFonts w:ascii="Times New Roman" w:hAnsi="Times New Roman" w:cs="Times New Roman"/>
          <w:bCs/>
          <w:sz w:val="24"/>
          <w:szCs w:val="24"/>
        </w:rPr>
        <w:t xml:space="preserve"> </w:t>
      </w:r>
      <w:r w:rsidRPr="00895A49">
        <w:rPr>
          <w:rFonts w:ascii="Times New Roman" w:hAnsi="Times New Roman" w:cs="Times New Roman"/>
          <w:bCs/>
          <w:sz w:val="24"/>
          <w:szCs w:val="24"/>
        </w:rPr>
        <w:t xml:space="preserve">визнання та при оцінці </w:t>
      </w:r>
      <w:proofErr w:type="spellStart"/>
      <w:r w:rsidRPr="00895A49">
        <w:rPr>
          <w:rFonts w:ascii="Times New Roman" w:hAnsi="Times New Roman" w:cs="Times New Roman"/>
          <w:bCs/>
          <w:sz w:val="24"/>
          <w:szCs w:val="24"/>
        </w:rPr>
        <w:t>ОКЗ</w:t>
      </w:r>
      <w:proofErr w:type="spellEnd"/>
      <w:r w:rsidRPr="00895A49">
        <w:rPr>
          <w:rFonts w:ascii="Times New Roman" w:hAnsi="Times New Roman" w:cs="Times New Roman"/>
          <w:bCs/>
          <w:sz w:val="24"/>
          <w:szCs w:val="24"/>
        </w:rPr>
        <w:t>, Компанія вважає, що наявна інформація є релевантною, актуальною та доступною без надмірних витрат або зусиль. Це включає в себе як кількісну, так і</w:t>
      </w:r>
      <w:r>
        <w:rPr>
          <w:rFonts w:ascii="Times New Roman" w:hAnsi="Times New Roman" w:cs="Times New Roman"/>
          <w:bCs/>
          <w:sz w:val="24"/>
          <w:szCs w:val="24"/>
        </w:rPr>
        <w:t xml:space="preserve"> </w:t>
      </w:r>
      <w:r w:rsidRPr="00895A49">
        <w:rPr>
          <w:rFonts w:ascii="Times New Roman" w:hAnsi="Times New Roman" w:cs="Times New Roman"/>
          <w:bCs/>
          <w:sz w:val="24"/>
          <w:szCs w:val="24"/>
        </w:rPr>
        <w:t>якісну інформацію та їх аналіз, виходячи з історичного досвіду</w:t>
      </w:r>
      <w:r>
        <w:rPr>
          <w:rFonts w:ascii="Times New Roman" w:hAnsi="Times New Roman" w:cs="Times New Roman"/>
          <w:bCs/>
          <w:sz w:val="24"/>
          <w:szCs w:val="24"/>
        </w:rPr>
        <w:t xml:space="preserve"> </w:t>
      </w:r>
      <w:r w:rsidRPr="00895A49">
        <w:rPr>
          <w:rFonts w:ascii="Times New Roman" w:hAnsi="Times New Roman" w:cs="Times New Roman"/>
          <w:bCs/>
          <w:sz w:val="24"/>
          <w:szCs w:val="24"/>
        </w:rPr>
        <w:t>Компанії та обґрунтованої кредитної оцінки.</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bCs/>
          <w:sz w:val="24"/>
          <w:szCs w:val="24"/>
        </w:rPr>
        <w:t>Компанія вважає фінансовий актив неплатоспроможним, коли малоймовірно, що позичальник</w:t>
      </w:r>
      <w:r>
        <w:rPr>
          <w:rFonts w:ascii="Times New Roman" w:hAnsi="Times New Roman" w:cs="Times New Roman"/>
          <w:bCs/>
          <w:sz w:val="24"/>
          <w:szCs w:val="24"/>
        </w:rPr>
        <w:t xml:space="preserve"> </w:t>
      </w:r>
      <w:r w:rsidRPr="00895A49">
        <w:rPr>
          <w:rFonts w:ascii="Times New Roman" w:hAnsi="Times New Roman" w:cs="Times New Roman"/>
          <w:bCs/>
          <w:sz w:val="24"/>
          <w:szCs w:val="24"/>
        </w:rPr>
        <w:t>сплатить свої кредитні зобов'язання перед Компаніям в повному обсязі.</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lang w:val="en-US"/>
        </w:rPr>
        <w:t>v</w:t>
      </w:r>
      <w:r w:rsidRPr="00895A49">
        <w:rPr>
          <w:rFonts w:ascii="Times New Roman" w:hAnsi="Times New Roman" w:cs="Times New Roman"/>
          <w:b/>
          <w:i/>
          <w:sz w:val="24"/>
          <w:szCs w:val="24"/>
        </w:rPr>
        <w:t>і) Припинення визнання</w:t>
      </w:r>
      <w:r>
        <w:rPr>
          <w:rFonts w:ascii="Times New Roman" w:hAnsi="Times New Roman" w:cs="Times New Roman"/>
          <w:b/>
          <w:i/>
          <w:sz w:val="24"/>
          <w:szCs w:val="24"/>
        </w:rPr>
        <w:t xml:space="preserve"> </w:t>
      </w:r>
      <w:r w:rsidRPr="00895A49">
        <w:rPr>
          <w:rFonts w:ascii="Times New Roman" w:hAnsi="Times New Roman" w:cs="Times New Roman"/>
          <w:b/>
          <w:i/>
          <w:sz w:val="24"/>
          <w:szCs w:val="24"/>
        </w:rPr>
        <w:t xml:space="preserve">фінансових інструментів </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bCs/>
          <w:sz w:val="24"/>
          <w:szCs w:val="24"/>
        </w:rPr>
        <w:t>Компанія</w:t>
      </w:r>
      <w:r>
        <w:rPr>
          <w:rFonts w:ascii="Times New Roman" w:hAnsi="Times New Roman" w:cs="Times New Roman"/>
          <w:bCs/>
          <w:sz w:val="24"/>
          <w:szCs w:val="24"/>
        </w:rPr>
        <w:t xml:space="preserve"> </w:t>
      </w:r>
      <w:r w:rsidRPr="00895A49">
        <w:rPr>
          <w:rFonts w:ascii="Times New Roman" w:hAnsi="Times New Roman" w:cs="Times New Roman"/>
          <w:bCs/>
          <w:sz w:val="24"/>
          <w:szCs w:val="24"/>
        </w:rPr>
        <w:t xml:space="preserve">припиняє визнавати фінансовий актив лише у тих випадках, коли припиняють свою дію договірні права на потоки грошових коштів від цього активу, або ж коли воно передає фінансовий актив і всі істотні ризики й вигоди, пов’язані з володінням цим активом, іншій стороні. </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bCs/>
          <w:sz w:val="24"/>
          <w:szCs w:val="24"/>
        </w:rPr>
        <w:t xml:space="preserve">Після повного припинення визнання фінансового активу різниця між балансовою вартістю активу та сумою компенсації отриманої і до отримання та накопиченим прибутком або збитком, який був визнаний у складі інших сукупних доходів та накопичений у складі власного капіталу, визнається у складі прибутку або збитку. </w:t>
      </w:r>
    </w:p>
    <w:p w:rsidR="00895A49" w:rsidRPr="00895A49" w:rsidRDefault="00895A49" w:rsidP="00895A49">
      <w:pPr>
        <w:widowControl w:val="0"/>
        <w:spacing w:after="0" w:line="240" w:lineRule="auto"/>
        <w:jc w:val="both"/>
        <w:rPr>
          <w:rFonts w:ascii="Times New Roman" w:hAnsi="Times New Roman" w:cs="Times New Roman"/>
          <w:bCs/>
          <w:sz w:val="24"/>
          <w:szCs w:val="24"/>
        </w:rPr>
      </w:pPr>
      <w:r w:rsidRPr="00895A49">
        <w:rPr>
          <w:rFonts w:ascii="Times New Roman" w:hAnsi="Times New Roman" w:cs="Times New Roman"/>
          <w:bCs/>
          <w:sz w:val="24"/>
          <w:szCs w:val="24"/>
        </w:rPr>
        <w:t>Компанія</w:t>
      </w:r>
      <w:r>
        <w:rPr>
          <w:rFonts w:ascii="Times New Roman" w:hAnsi="Times New Roman" w:cs="Times New Roman"/>
          <w:bCs/>
          <w:sz w:val="24"/>
          <w:szCs w:val="24"/>
        </w:rPr>
        <w:t xml:space="preserve"> </w:t>
      </w:r>
      <w:r w:rsidRPr="00895A49">
        <w:rPr>
          <w:rFonts w:ascii="Times New Roman" w:hAnsi="Times New Roman" w:cs="Times New Roman"/>
          <w:bCs/>
          <w:sz w:val="24"/>
          <w:szCs w:val="24"/>
        </w:rPr>
        <w:t>припиняє визнавати фінансові зобов’язання тоді, коли зобов’язання Компанії</w:t>
      </w:r>
      <w:r>
        <w:rPr>
          <w:rFonts w:ascii="Times New Roman" w:hAnsi="Times New Roman" w:cs="Times New Roman"/>
          <w:bCs/>
          <w:sz w:val="24"/>
          <w:szCs w:val="24"/>
        </w:rPr>
        <w:t xml:space="preserve"> </w:t>
      </w:r>
      <w:r w:rsidRPr="00895A49">
        <w:rPr>
          <w:rFonts w:ascii="Times New Roman" w:hAnsi="Times New Roman" w:cs="Times New Roman"/>
          <w:bCs/>
          <w:sz w:val="24"/>
          <w:szCs w:val="24"/>
        </w:rPr>
        <w:t xml:space="preserve">виконані, відмінені або спливає строк їхньої дії. Різниця між балансовою вартістю фінансового зобов’язання, визнання якого було припинене, і компенсацією сплаченою або до виплати визнається у складі прибутку або збитку. </w:t>
      </w:r>
    </w:p>
    <w:p w:rsidR="00895A49" w:rsidRPr="00895A49" w:rsidRDefault="00895A49" w:rsidP="00895A49">
      <w:pPr>
        <w:pStyle w:val="2"/>
        <w:widowControl w:val="0"/>
        <w:pBdr>
          <w:bottom w:val="none" w:sz="0" w:space="0" w:color="auto"/>
        </w:pBdr>
        <w:spacing w:before="0"/>
        <w:jc w:val="left"/>
        <w:rPr>
          <w:rFonts w:ascii="Times New Roman" w:hAnsi="Times New Roman"/>
          <w:b/>
          <w:i/>
          <w:caps w:val="0"/>
          <w:color w:val="auto"/>
          <w:spacing w:val="0"/>
        </w:rPr>
      </w:pPr>
      <w:r w:rsidRPr="00895A49">
        <w:rPr>
          <w:rFonts w:ascii="Times New Roman" w:hAnsi="Times New Roman"/>
          <w:b/>
          <w:i/>
          <w:caps w:val="0"/>
          <w:color w:val="auto"/>
          <w:spacing w:val="0"/>
        </w:rPr>
        <w:t xml:space="preserve">(д) Знецінення </w:t>
      </w:r>
      <w:proofErr w:type="spellStart"/>
      <w:r w:rsidRPr="00895A49">
        <w:rPr>
          <w:rFonts w:ascii="Times New Roman" w:hAnsi="Times New Roman"/>
          <w:b/>
          <w:i/>
          <w:caps w:val="0"/>
          <w:color w:val="auto"/>
          <w:spacing w:val="0"/>
        </w:rPr>
        <w:t>нефінансових</w:t>
      </w:r>
      <w:proofErr w:type="spellEnd"/>
      <w:r w:rsidRPr="00895A49">
        <w:rPr>
          <w:rFonts w:ascii="Times New Roman" w:hAnsi="Times New Roman"/>
          <w:b/>
          <w:i/>
          <w:caps w:val="0"/>
          <w:color w:val="auto"/>
          <w:spacing w:val="0"/>
        </w:rPr>
        <w:t xml:space="preserve"> активів</w:t>
      </w:r>
    </w:p>
    <w:p w:rsidR="00895A49" w:rsidRPr="00895A49" w:rsidRDefault="00895A49" w:rsidP="00895A49">
      <w:pPr>
        <w:pStyle w:val="af7"/>
        <w:widowControl w:val="0"/>
        <w:spacing w:after="0"/>
        <w:jc w:val="both"/>
        <w:rPr>
          <w:rStyle w:val="hps"/>
          <w:sz w:val="24"/>
          <w:szCs w:val="24"/>
        </w:rPr>
      </w:pPr>
      <w:r w:rsidRPr="00895A49">
        <w:rPr>
          <w:sz w:val="24"/>
          <w:szCs w:val="24"/>
        </w:rPr>
        <w:t>Всі</w:t>
      </w:r>
      <w:r>
        <w:rPr>
          <w:sz w:val="24"/>
          <w:szCs w:val="24"/>
        </w:rPr>
        <w:t xml:space="preserve"> </w:t>
      </w:r>
      <w:proofErr w:type="spellStart"/>
      <w:r w:rsidRPr="00895A49">
        <w:rPr>
          <w:sz w:val="24"/>
          <w:szCs w:val="24"/>
        </w:rPr>
        <w:t>нефінансові</w:t>
      </w:r>
      <w:proofErr w:type="spellEnd"/>
      <w:r w:rsidRPr="00895A49">
        <w:rPr>
          <w:sz w:val="24"/>
          <w:szCs w:val="24"/>
        </w:rPr>
        <w:t xml:space="preserve"> активи, відмінні від відстрочених податків, оцінюються станом на кожну звітну дату на предмет </w:t>
      </w:r>
      <w:r w:rsidRPr="00895A49">
        <w:rPr>
          <w:rStyle w:val="hps"/>
          <w:sz w:val="24"/>
          <w:szCs w:val="24"/>
        </w:rPr>
        <w:t>наявності</w:t>
      </w:r>
      <w:r>
        <w:rPr>
          <w:rStyle w:val="hps"/>
          <w:sz w:val="24"/>
          <w:szCs w:val="24"/>
        </w:rPr>
        <w:t xml:space="preserve"> </w:t>
      </w:r>
      <w:r w:rsidRPr="00895A49">
        <w:rPr>
          <w:rStyle w:val="hps"/>
          <w:sz w:val="24"/>
          <w:szCs w:val="24"/>
        </w:rPr>
        <w:t>ознак</w:t>
      </w:r>
      <w:r>
        <w:rPr>
          <w:rStyle w:val="hps"/>
          <w:sz w:val="24"/>
          <w:szCs w:val="24"/>
        </w:rPr>
        <w:t xml:space="preserve"> </w:t>
      </w:r>
      <w:r w:rsidRPr="00895A49">
        <w:rPr>
          <w:rStyle w:val="hps"/>
          <w:sz w:val="24"/>
          <w:szCs w:val="24"/>
        </w:rPr>
        <w:t>знецінення. Відновлювальна вартість є величина найбільша із справедливою вартістю за вирахуванням витрат на продаж та цінності використання. При визначенні цінності використання передбачувані майбутні потоки грошових коштів дисконтуються до їх приведеної вартості з використанням ставки дисконтування до оподаткування, яка відображає поточну ринкову оцінку тимчасової</w:t>
      </w:r>
      <w:r>
        <w:rPr>
          <w:rStyle w:val="hps"/>
          <w:sz w:val="24"/>
          <w:szCs w:val="24"/>
        </w:rPr>
        <w:t xml:space="preserve"> </w:t>
      </w:r>
      <w:r w:rsidRPr="00895A49">
        <w:rPr>
          <w:rStyle w:val="hps"/>
          <w:sz w:val="24"/>
          <w:szCs w:val="24"/>
        </w:rPr>
        <w:t>вартості</w:t>
      </w:r>
      <w:r>
        <w:rPr>
          <w:rStyle w:val="hps"/>
          <w:sz w:val="24"/>
          <w:szCs w:val="24"/>
        </w:rPr>
        <w:t xml:space="preserve"> </w:t>
      </w:r>
      <w:r w:rsidRPr="00895A49">
        <w:rPr>
          <w:rStyle w:val="hps"/>
          <w:sz w:val="24"/>
          <w:szCs w:val="24"/>
        </w:rPr>
        <w:t xml:space="preserve">грошей та ризику, що притаманний даному активу. Для активу який не генерує </w:t>
      </w:r>
      <w:r>
        <w:rPr>
          <w:rStyle w:val="hps"/>
          <w:sz w:val="24"/>
          <w:szCs w:val="24"/>
        </w:rPr>
        <w:t xml:space="preserve">потік грошових </w:t>
      </w:r>
      <w:r w:rsidRPr="00895A49">
        <w:rPr>
          <w:rStyle w:val="hps"/>
          <w:sz w:val="24"/>
          <w:szCs w:val="24"/>
        </w:rPr>
        <w:t xml:space="preserve">коштів, відновлювальна вартість визначається по групі активів, що генерують грошові кошти, до яких належить актив. </w:t>
      </w:r>
      <w:r w:rsidRPr="00895A49">
        <w:rPr>
          <w:rStyle w:val="hps"/>
          <w:sz w:val="24"/>
          <w:szCs w:val="24"/>
        </w:rPr>
        <w:lastRenderedPageBreak/>
        <w:t>Збиток від знецінення визнається, коли балансова вартість активу або групи активів, що генерують потік грошових коштів, перевищує його відновлювальну вартість.</w:t>
      </w:r>
    </w:p>
    <w:p w:rsidR="00895A49" w:rsidRPr="00895A49" w:rsidRDefault="00895A49" w:rsidP="00895A49">
      <w:pPr>
        <w:pStyle w:val="af7"/>
        <w:widowControl w:val="0"/>
        <w:spacing w:after="0"/>
        <w:jc w:val="both"/>
        <w:rPr>
          <w:rStyle w:val="hps"/>
          <w:sz w:val="24"/>
          <w:szCs w:val="24"/>
        </w:rPr>
      </w:pPr>
      <w:r w:rsidRPr="00895A49">
        <w:rPr>
          <w:rStyle w:val="hps"/>
          <w:sz w:val="24"/>
          <w:szCs w:val="24"/>
        </w:rPr>
        <w:t xml:space="preserve">Усі збитки від знецінення </w:t>
      </w:r>
      <w:proofErr w:type="spellStart"/>
      <w:r w:rsidRPr="00895A49">
        <w:rPr>
          <w:rStyle w:val="hps"/>
          <w:sz w:val="24"/>
          <w:szCs w:val="24"/>
        </w:rPr>
        <w:t>нефінансових</w:t>
      </w:r>
      <w:proofErr w:type="spellEnd"/>
      <w:r w:rsidRPr="00895A49">
        <w:rPr>
          <w:rStyle w:val="hps"/>
          <w:sz w:val="24"/>
          <w:szCs w:val="24"/>
        </w:rPr>
        <w:t xml:space="preserve"> активів відображаються в складі прибутку чи збитку та не підлягають відновлюванню виключно у випадку коли відбулися зміни в оцінці, що використовувалися при визначенні відновлювальній вартості. Будь-який збиток від знецінення активу підлягає відновлюванню в тому об’ємі, при якому балансова вартість активу не перевищує таку балансову вартість (за вирахуванням амортизації та зносу), яка б склалася у разі якби збиток від знецінення не був відображений у звітності. </w:t>
      </w:r>
    </w:p>
    <w:p w:rsidR="00895A49" w:rsidRPr="00895A49" w:rsidRDefault="00895A49" w:rsidP="00895A49">
      <w:pPr>
        <w:pStyle w:val="2"/>
        <w:widowControl w:val="0"/>
        <w:pBdr>
          <w:bottom w:val="none" w:sz="0" w:space="0" w:color="auto"/>
        </w:pBdr>
        <w:spacing w:before="0"/>
        <w:jc w:val="left"/>
        <w:rPr>
          <w:rFonts w:ascii="Times New Roman" w:hAnsi="Times New Roman"/>
          <w:b/>
          <w:i/>
          <w:caps w:val="0"/>
          <w:color w:val="auto"/>
          <w:spacing w:val="0"/>
        </w:rPr>
      </w:pPr>
      <w:r w:rsidRPr="00895A49">
        <w:rPr>
          <w:rFonts w:ascii="Times New Roman" w:hAnsi="Times New Roman"/>
          <w:b/>
          <w:i/>
          <w:caps w:val="0"/>
          <w:color w:val="auto"/>
          <w:spacing w:val="0"/>
        </w:rPr>
        <w:t>(е) Акціонерний капітал</w:t>
      </w:r>
    </w:p>
    <w:p w:rsidR="00895A49" w:rsidRPr="00895A49" w:rsidRDefault="00895A49" w:rsidP="00895A49">
      <w:pPr>
        <w:pStyle w:val="Default"/>
        <w:widowControl w:val="0"/>
        <w:jc w:val="both"/>
        <w:rPr>
          <w:rStyle w:val="hps"/>
          <w:rFonts w:ascii="Times New Roman" w:hAnsi="Times New Roman" w:cs="Times New Roman"/>
          <w:b/>
          <w:i/>
          <w:color w:val="auto"/>
          <w:lang w:val="uk-UA"/>
        </w:rPr>
      </w:pPr>
      <w:r w:rsidRPr="00895A49">
        <w:rPr>
          <w:rStyle w:val="hps"/>
          <w:rFonts w:ascii="Times New Roman" w:hAnsi="Times New Roman" w:cs="Times New Roman"/>
          <w:b/>
          <w:i/>
          <w:color w:val="auto"/>
          <w:lang w:val="uk-UA"/>
        </w:rPr>
        <w:t>Зареєстрований</w:t>
      </w:r>
      <w:r>
        <w:rPr>
          <w:rStyle w:val="hps"/>
          <w:rFonts w:ascii="Times New Roman" w:hAnsi="Times New Roman" w:cs="Times New Roman"/>
          <w:b/>
          <w:i/>
          <w:color w:val="auto"/>
          <w:lang w:val="uk-UA"/>
        </w:rPr>
        <w:t xml:space="preserve"> </w:t>
      </w:r>
      <w:r w:rsidRPr="00895A49">
        <w:rPr>
          <w:rStyle w:val="hps"/>
          <w:rFonts w:ascii="Times New Roman" w:hAnsi="Times New Roman" w:cs="Times New Roman"/>
          <w:b/>
          <w:i/>
          <w:color w:val="auto"/>
          <w:lang w:val="uk-UA"/>
        </w:rPr>
        <w:t>капітал</w:t>
      </w:r>
    </w:p>
    <w:p w:rsidR="00895A49" w:rsidRPr="00895A49" w:rsidRDefault="00895A49" w:rsidP="00895A49">
      <w:pPr>
        <w:pStyle w:val="Default"/>
        <w:widowControl w:val="0"/>
        <w:jc w:val="both"/>
        <w:rPr>
          <w:rStyle w:val="hps"/>
          <w:rFonts w:ascii="Times New Roman" w:hAnsi="Times New Roman" w:cs="Times New Roman"/>
          <w:color w:val="auto"/>
          <w:lang w:val="uk-UA"/>
        </w:rPr>
      </w:pPr>
      <w:r w:rsidRPr="00895A49">
        <w:rPr>
          <w:rStyle w:val="hps"/>
          <w:rFonts w:ascii="Times New Roman" w:hAnsi="Times New Roman" w:cs="Times New Roman"/>
          <w:b/>
          <w:i/>
          <w:color w:val="auto"/>
          <w:lang w:val="uk-UA"/>
        </w:rPr>
        <w:t>Зареєстрований</w:t>
      </w:r>
      <w:r w:rsidRPr="00895A49">
        <w:rPr>
          <w:rStyle w:val="hps"/>
          <w:rFonts w:ascii="Times New Roman" w:hAnsi="Times New Roman" w:cs="Times New Roman"/>
          <w:color w:val="auto"/>
          <w:lang w:val="uk-UA"/>
        </w:rPr>
        <w:t>(статутний капітал) – це зафіксована в установчих документах загальна номінальна вартість випущених акцій.</w:t>
      </w:r>
    </w:p>
    <w:p w:rsidR="00895A49" w:rsidRPr="00895A49" w:rsidRDefault="00895A49" w:rsidP="00895A49">
      <w:pPr>
        <w:pStyle w:val="Default"/>
        <w:widowControl w:val="0"/>
        <w:jc w:val="both"/>
        <w:rPr>
          <w:rStyle w:val="hps"/>
          <w:rFonts w:ascii="Times New Roman" w:hAnsi="Times New Roman" w:cs="Times New Roman"/>
          <w:b/>
          <w:i/>
          <w:color w:val="auto"/>
          <w:lang w:val="uk-UA"/>
        </w:rPr>
      </w:pPr>
      <w:r w:rsidRPr="00895A49">
        <w:rPr>
          <w:rStyle w:val="hps"/>
          <w:rFonts w:ascii="Times New Roman" w:hAnsi="Times New Roman" w:cs="Times New Roman"/>
          <w:b/>
          <w:i/>
          <w:color w:val="auto"/>
          <w:lang w:val="uk-UA"/>
        </w:rPr>
        <w:t xml:space="preserve">Резервний капітал </w:t>
      </w:r>
    </w:p>
    <w:p w:rsidR="00895A49" w:rsidRPr="00895A49" w:rsidRDefault="00895A49" w:rsidP="00895A49">
      <w:pPr>
        <w:pStyle w:val="3"/>
        <w:widowControl w:val="0"/>
        <w:pBdr>
          <w:top w:val="none" w:sz="0" w:space="0" w:color="auto"/>
          <w:bottom w:val="none" w:sz="0" w:space="0" w:color="auto"/>
        </w:pBdr>
        <w:spacing w:before="0"/>
        <w:jc w:val="both"/>
        <w:rPr>
          <w:rStyle w:val="hps"/>
          <w:rFonts w:ascii="Times New Roman" w:hAnsi="Times New Roman"/>
          <w:caps w:val="0"/>
          <w:color w:val="auto"/>
        </w:rPr>
      </w:pPr>
      <w:r w:rsidRPr="00895A49">
        <w:rPr>
          <w:rStyle w:val="hps"/>
          <w:rFonts w:ascii="Times New Roman" w:hAnsi="Times New Roman"/>
          <w:caps w:val="0"/>
          <w:color w:val="auto"/>
        </w:rPr>
        <w:t>Резервний капітал Компанії формується з метою покриття можливих в майбутньому непередбачуваних збитків.</w:t>
      </w:r>
      <w:r>
        <w:rPr>
          <w:rStyle w:val="hps"/>
          <w:rFonts w:ascii="Times New Roman" w:hAnsi="Times New Roman"/>
          <w:caps w:val="0"/>
          <w:color w:val="auto"/>
        </w:rPr>
        <w:t xml:space="preserve"> </w:t>
      </w:r>
      <w:r w:rsidRPr="00895A49">
        <w:rPr>
          <w:rStyle w:val="hps"/>
          <w:rFonts w:ascii="Times New Roman" w:hAnsi="Times New Roman"/>
          <w:caps w:val="0"/>
          <w:color w:val="auto"/>
        </w:rPr>
        <w:t>Компанія формує резервний капітал у розмірі 25% статутного капіталу.</w:t>
      </w:r>
    </w:p>
    <w:p w:rsidR="00895A49" w:rsidRPr="00895A49" w:rsidRDefault="00895A49" w:rsidP="00895A49">
      <w:pPr>
        <w:pStyle w:val="Default"/>
        <w:widowControl w:val="0"/>
        <w:jc w:val="both"/>
        <w:rPr>
          <w:rStyle w:val="hps"/>
          <w:rFonts w:ascii="Times New Roman" w:hAnsi="Times New Roman" w:cs="Times New Roman"/>
          <w:b/>
          <w:i/>
          <w:color w:val="auto"/>
          <w:lang w:val="uk-UA"/>
        </w:rPr>
      </w:pPr>
      <w:r w:rsidRPr="00895A49">
        <w:rPr>
          <w:rStyle w:val="hps"/>
          <w:rFonts w:ascii="Times New Roman" w:hAnsi="Times New Roman" w:cs="Times New Roman"/>
          <w:b/>
          <w:i/>
          <w:color w:val="auto"/>
          <w:lang w:val="uk-UA"/>
        </w:rPr>
        <w:t>Дивіденди</w:t>
      </w:r>
    </w:p>
    <w:p w:rsidR="00895A49" w:rsidRPr="00895A49" w:rsidRDefault="00895A49" w:rsidP="00895A49">
      <w:pPr>
        <w:pStyle w:val="af7"/>
        <w:widowControl w:val="0"/>
        <w:spacing w:after="0"/>
        <w:jc w:val="both"/>
        <w:rPr>
          <w:rStyle w:val="hps"/>
          <w:sz w:val="24"/>
          <w:szCs w:val="24"/>
        </w:rPr>
      </w:pPr>
      <w:r w:rsidRPr="00895A49">
        <w:rPr>
          <w:rStyle w:val="hps"/>
          <w:sz w:val="24"/>
          <w:szCs w:val="24"/>
        </w:rPr>
        <w:t>Можливість Компанії повідомляти й виплачувати дивіденди підпадає під регулювання чинного законодавства України.</w:t>
      </w:r>
    </w:p>
    <w:p w:rsidR="00895A49" w:rsidRPr="00895A49" w:rsidRDefault="00895A49" w:rsidP="00895A49">
      <w:pPr>
        <w:pStyle w:val="af7"/>
        <w:widowControl w:val="0"/>
        <w:spacing w:after="0"/>
        <w:ind w:right="-28"/>
        <w:jc w:val="both"/>
        <w:rPr>
          <w:rStyle w:val="hps"/>
          <w:sz w:val="24"/>
          <w:szCs w:val="24"/>
        </w:rPr>
      </w:pPr>
      <w:r w:rsidRPr="00895A49">
        <w:rPr>
          <w:rStyle w:val="hps"/>
          <w:sz w:val="24"/>
          <w:szCs w:val="24"/>
        </w:rPr>
        <w:t>Дивіденди за звичайними акціями відображаються в фінансовій звітності як використання нерозподіленого прибутку в міру їх оголошення.</w:t>
      </w:r>
    </w:p>
    <w:p w:rsidR="00895A49" w:rsidRPr="00895A49" w:rsidRDefault="00895A49" w:rsidP="00895A49">
      <w:pPr>
        <w:pStyle w:val="2"/>
        <w:widowControl w:val="0"/>
        <w:pBdr>
          <w:bottom w:val="none" w:sz="0" w:space="0" w:color="auto"/>
        </w:pBdr>
        <w:spacing w:before="0"/>
        <w:jc w:val="left"/>
        <w:rPr>
          <w:rStyle w:val="hps"/>
          <w:rFonts w:ascii="Times New Roman" w:hAnsi="Times New Roman"/>
          <w:b/>
          <w:i/>
          <w:caps w:val="0"/>
          <w:color w:val="auto"/>
          <w:spacing w:val="0"/>
        </w:rPr>
      </w:pPr>
      <w:r w:rsidRPr="00895A49">
        <w:rPr>
          <w:rStyle w:val="hps"/>
          <w:rFonts w:ascii="Times New Roman" w:hAnsi="Times New Roman"/>
          <w:b/>
          <w:i/>
          <w:caps w:val="0"/>
          <w:color w:val="auto"/>
          <w:spacing w:val="0"/>
        </w:rPr>
        <w:t>(ж) Основні засоби</w:t>
      </w:r>
    </w:p>
    <w:p w:rsidR="00895A49" w:rsidRPr="00895A49" w:rsidRDefault="00895A49" w:rsidP="00895A49">
      <w:pPr>
        <w:pStyle w:val="af7"/>
        <w:widowControl w:val="0"/>
        <w:spacing w:after="0"/>
        <w:jc w:val="both"/>
        <w:rPr>
          <w:b/>
          <w:i/>
          <w:sz w:val="24"/>
          <w:szCs w:val="24"/>
        </w:rPr>
      </w:pPr>
      <w:r w:rsidRPr="00895A49">
        <w:rPr>
          <w:b/>
          <w:i/>
          <w:sz w:val="24"/>
          <w:szCs w:val="24"/>
        </w:rPr>
        <w:t xml:space="preserve">і) Визнання та оцінка </w:t>
      </w:r>
    </w:p>
    <w:p w:rsidR="00895A49" w:rsidRPr="00895A49" w:rsidRDefault="00895A49" w:rsidP="00895A49">
      <w:pPr>
        <w:pStyle w:val="af7"/>
        <w:widowControl w:val="0"/>
        <w:spacing w:after="0"/>
        <w:jc w:val="both"/>
        <w:rPr>
          <w:sz w:val="24"/>
          <w:szCs w:val="24"/>
        </w:rPr>
      </w:pPr>
      <w:r w:rsidRPr="00895A49">
        <w:rPr>
          <w:sz w:val="24"/>
          <w:szCs w:val="24"/>
        </w:rPr>
        <w:t>Об'єкти основних засобів відображаються в фінансовій звітності по фактичних витратах за винятком накопиченої амортизації й збитків від знецінення, за винятком нерухомості та транспорту, яка відображається по переоціненій вартості, як описано далі.</w:t>
      </w:r>
    </w:p>
    <w:p w:rsidR="00895A49" w:rsidRPr="00895A49" w:rsidRDefault="00895A49" w:rsidP="00895A49">
      <w:pPr>
        <w:pStyle w:val="af7"/>
        <w:widowControl w:val="0"/>
        <w:spacing w:after="0"/>
        <w:jc w:val="both"/>
        <w:rPr>
          <w:sz w:val="24"/>
          <w:szCs w:val="24"/>
        </w:rPr>
      </w:pPr>
      <w:r w:rsidRPr="00895A49">
        <w:rPr>
          <w:sz w:val="24"/>
          <w:szCs w:val="24"/>
        </w:rPr>
        <w:t>У тому випадку, якщо об'єкт основних засобів складається з декількох компонентів, що мають різний строк корисного використання, такі компоненти відображаються як окремі об'єкти основних засобів.</w:t>
      </w:r>
    </w:p>
    <w:p w:rsidR="00895A49" w:rsidRPr="00895A49" w:rsidRDefault="00895A49" w:rsidP="00895A49">
      <w:pPr>
        <w:pStyle w:val="af7"/>
        <w:widowControl w:val="0"/>
        <w:spacing w:after="0"/>
        <w:jc w:val="both"/>
        <w:rPr>
          <w:sz w:val="24"/>
          <w:szCs w:val="24"/>
        </w:rPr>
      </w:pPr>
      <w:r w:rsidRPr="00895A49">
        <w:rPr>
          <w:sz w:val="24"/>
          <w:szCs w:val="24"/>
        </w:rPr>
        <w:t>Витрати, понесені на заміну частини одиниці основних засобів, визнаються у балансовій вартості такої одиниці, якщо існує ймовірність того, що така частина принесе Компанії майбутні економічні вигоди, а її вартість може бути достовірно оцінена. При цьому припиняється визнання балансової вартості заміненої частини. Витрати на поточне обслуговування основних засобів визнаються у складі прибутку або збитку за період, в якому вони були понесені.</w:t>
      </w:r>
    </w:p>
    <w:p w:rsidR="00895A49" w:rsidRPr="00895A49" w:rsidRDefault="00895A49" w:rsidP="00895A49">
      <w:pPr>
        <w:pStyle w:val="af7"/>
        <w:widowControl w:val="0"/>
        <w:spacing w:after="0"/>
        <w:jc w:val="both"/>
        <w:rPr>
          <w:i/>
          <w:sz w:val="24"/>
          <w:szCs w:val="24"/>
          <w:highlight w:val="yellow"/>
        </w:rPr>
      </w:pPr>
      <w:r w:rsidRPr="00895A49">
        <w:rPr>
          <w:b/>
          <w:i/>
          <w:sz w:val="24"/>
          <w:szCs w:val="24"/>
        </w:rPr>
        <w:t>іі) Переоцінка</w:t>
      </w:r>
    </w:p>
    <w:p w:rsidR="00895A49" w:rsidRPr="00895A49" w:rsidRDefault="00895A49" w:rsidP="00895A49">
      <w:pPr>
        <w:pStyle w:val="af7"/>
        <w:widowControl w:val="0"/>
        <w:spacing w:after="0"/>
        <w:jc w:val="both"/>
        <w:rPr>
          <w:sz w:val="24"/>
          <w:szCs w:val="24"/>
        </w:rPr>
      </w:pPr>
      <w:r w:rsidRPr="00895A49">
        <w:rPr>
          <w:sz w:val="24"/>
          <w:szCs w:val="24"/>
        </w:rPr>
        <w:t xml:space="preserve">Нерухоме майно та транспортні засоби Компанії підлягають переоцінці на регулярній основі. Періодичність переоцінки залежить від змін справедливої вартості будинків та споруд,  транспорту що підлягають переоцінці. Збільшення в результаті переоцінки вартості нерухомості та транспорту відображається в складі іншого додаткового капіталу, за виключенням випадків, коли відбувається відшкодування попереднього зменшення в результаті переоцінки вартості зазначених об'єктів, відображеного у складі прибутку чи збитку. У цьому випадку результат переоцінки відображається у складі прибутку чи збитку. Зменшення в результаті переоцінки вартості будинків та транспорту відображається в складі прибутку чи збитку, за виключенням випадків, коли відбувається списання попереднього збільшення в результаті переоцінки вартості зазначених об'єктів, відображеного у складі іншого додаткового капіталу. У цьому випадку результат переоцінки відображається у складі іншого додаткового капіталу. </w:t>
      </w:r>
    </w:p>
    <w:p w:rsidR="00895A49" w:rsidRPr="00895A49" w:rsidRDefault="00895A49" w:rsidP="00895A49">
      <w:pPr>
        <w:pStyle w:val="af7"/>
        <w:widowControl w:val="0"/>
        <w:spacing w:after="0"/>
        <w:jc w:val="both"/>
        <w:rPr>
          <w:sz w:val="24"/>
          <w:szCs w:val="24"/>
        </w:rPr>
      </w:pPr>
      <w:r w:rsidRPr="00895A49">
        <w:rPr>
          <w:sz w:val="24"/>
          <w:szCs w:val="24"/>
        </w:rPr>
        <w:t>Компанія прийняла рішення, що частина суми дооцінки основних засобів  щоквартально переноситься до нерозподіленого прибутку. У цьому випадку сума перенесеної дооцінки буде різницею між амортизацією, що базується на переоціненій балансовій вартості активу, та амортизацією, що базується на первісній вартості активу. Перенесення з дооцінки до нерозподіленого прибутку не здійснюється через прибуток або збиток.</w:t>
      </w:r>
    </w:p>
    <w:p w:rsidR="00895A49" w:rsidRPr="00895A49" w:rsidRDefault="00895A49" w:rsidP="00895A49">
      <w:pPr>
        <w:pStyle w:val="af7"/>
        <w:widowControl w:val="0"/>
        <w:spacing w:after="0"/>
        <w:jc w:val="both"/>
        <w:rPr>
          <w:b/>
          <w:i/>
          <w:sz w:val="24"/>
          <w:szCs w:val="24"/>
        </w:rPr>
      </w:pPr>
      <w:r w:rsidRPr="00895A49">
        <w:rPr>
          <w:b/>
          <w:i/>
          <w:sz w:val="24"/>
          <w:szCs w:val="24"/>
        </w:rPr>
        <w:lastRenderedPageBreak/>
        <w:t>ііі)Амортизація</w:t>
      </w:r>
    </w:p>
    <w:p w:rsidR="00895A49" w:rsidRPr="00895A49" w:rsidRDefault="00895A49" w:rsidP="00895A49">
      <w:pPr>
        <w:pStyle w:val="af7"/>
        <w:widowControl w:val="0"/>
        <w:spacing w:after="0"/>
        <w:jc w:val="both"/>
        <w:rPr>
          <w:sz w:val="24"/>
          <w:szCs w:val="24"/>
        </w:rPr>
      </w:pPr>
      <w:r w:rsidRPr="00895A49">
        <w:rPr>
          <w:sz w:val="24"/>
          <w:szCs w:val="24"/>
        </w:rPr>
        <w:t>Амортизація основних засобів нараховується по методу рівномірного нарахування зношування протягом передбачуваного строку їх корисного використання й відображається в складі прибутку чи збитку. Амортизація активу починається, коли він стає придатним до експлуатації, а для об'єктів основних засобів, зведених господарським способом –</w:t>
      </w:r>
      <w:r>
        <w:rPr>
          <w:sz w:val="24"/>
          <w:szCs w:val="24"/>
        </w:rPr>
        <w:t xml:space="preserve"> </w:t>
      </w:r>
      <w:r w:rsidRPr="00895A49">
        <w:rPr>
          <w:sz w:val="24"/>
          <w:szCs w:val="24"/>
        </w:rPr>
        <w:t xml:space="preserve">після місяця завершення будівництва об'єкта і його готовності до експлуатації. По земельних ділянках амортизація не нараховується. Строки корисного використання різних об'єктів основних засобів можуть бути представлені в такий спосіб. </w:t>
      </w:r>
    </w:p>
    <w:tbl>
      <w:tblPr>
        <w:tblW w:w="8469" w:type="dxa"/>
        <w:tblInd w:w="108" w:type="dxa"/>
        <w:tblLook w:val="04A0"/>
      </w:tblPr>
      <w:tblGrid>
        <w:gridCol w:w="5954"/>
        <w:gridCol w:w="2515"/>
      </w:tblGrid>
      <w:tr w:rsidR="00895A49" w:rsidRPr="00895A49" w:rsidTr="00410EA4">
        <w:trPr>
          <w:trHeight w:val="300"/>
        </w:trPr>
        <w:tc>
          <w:tcPr>
            <w:tcW w:w="5954" w:type="dxa"/>
            <w:shd w:val="clear" w:color="auto" w:fill="auto"/>
            <w:vAlign w:val="center"/>
            <w:hideMark/>
          </w:tcPr>
          <w:p w:rsidR="00895A49" w:rsidRPr="00895A49" w:rsidRDefault="00895A49" w:rsidP="00895A49">
            <w:pPr>
              <w:pStyle w:val="af7"/>
              <w:widowControl w:val="0"/>
              <w:spacing w:after="0"/>
              <w:jc w:val="both"/>
              <w:rPr>
                <w:sz w:val="24"/>
                <w:szCs w:val="24"/>
                <w:lang w:eastAsia="uk-UA"/>
              </w:rPr>
            </w:pPr>
            <w:r w:rsidRPr="00895A49">
              <w:rPr>
                <w:sz w:val="24"/>
                <w:szCs w:val="24"/>
                <w:lang w:eastAsia="uk-UA"/>
              </w:rPr>
              <w:t>Будинки, споруди, передавальні пристрої</w:t>
            </w:r>
          </w:p>
        </w:tc>
        <w:tc>
          <w:tcPr>
            <w:tcW w:w="2515" w:type="dxa"/>
            <w:shd w:val="clear" w:color="auto" w:fill="auto"/>
            <w:vAlign w:val="center"/>
            <w:hideMark/>
          </w:tcPr>
          <w:p w:rsidR="00895A49" w:rsidRPr="00895A49" w:rsidRDefault="00895A49" w:rsidP="00895A49">
            <w:pPr>
              <w:pStyle w:val="af7"/>
              <w:widowControl w:val="0"/>
              <w:spacing w:after="0"/>
              <w:jc w:val="both"/>
              <w:rPr>
                <w:sz w:val="24"/>
                <w:szCs w:val="24"/>
                <w:lang w:eastAsia="uk-UA"/>
              </w:rPr>
            </w:pPr>
            <w:r w:rsidRPr="00895A49">
              <w:rPr>
                <w:sz w:val="24"/>
                <w:szCs w:val="24"/>
                <w:lang w:eastAsia="uk-UA"/>
              </w:rPr>
              <w:t>20 років</w:t>
            </w:r>
          </w:p>
        </w:tc>
      </w:tr>
      <w:tr w:rsidR="00895A49" w:rsidRPr="00895A49" w:rsidTr="00410EA4">
        <w:trPr>
          <w:trHeight w:val="300"/>
        </w:trPr>
        <w:tc>
          <w:tcPr>
            <w:tcW w:w="5954" w:type="dxa"/>
            <w:shd w:val="clear" w:color="auto" w:fill="auto"/>
            <w:vAlign w:val="center"/>
            <w:hideMark/>
          </w:tcPr>
          <w:p w:rsidR="00895A49" w:rsidRPr="00895A49" w:rsidRDefault="00895A49" w:rsidP="00895A49">
            <w:pPr>
              <w:pStyle w:val="af7"/>
              <w:widowControl w:val="0"/>
              <w:spacing w:after="0"/>
              <w:jc w:val="both"/>
              <w:rPr>
                <w:sz w:val="24"/>
                <w:szCs w:val="24"/>
                <w:lang w:eastAsia="uk-UA"/>
              </w:rPr>
            </w:pPr>
            <w:r w:rsidRPr="00895A49">
              <w:rPr>
                <w:sz w:val="24"/>
                <w:szCs w:val="24"/>
                <w:lang w:eastAsia="uk-UA"/>
              </w:rPr>
              <w:t>Машини та обладнання</w:t>
            </w:r>
          </w:p>
        </w:tc>
        <w:tc>
          <w:tcPr>
            <w:tcW w:w="2515" w:type="dxa"/>
            <w:shd w:val="clear" w:color="auto" w:fill="auto"/>
            <w:vAlign w:val="center"/>
            <w:hideMark/>
          </w:tcPr>
          <w:p w:rsidR="00895A49" w:rsidRPr="00895A49" w:rsidRDefault="00895A49" w:rsidP="00895A49">
            <w:pPr>
              <w:pStyle w:val="af7"/>
              <w:widowControl w:val="0"/>
              <w:spacing w:after="0"/>
              <w:jc w:val="both"/>
              <w:rPr>
                <w:sz w:val="24"/>
                <w:szCs w:val="24"/>
                <w:lang w:eastAsia="uk-UA"/>
              </w:rPr>
            </w:pPr>
            <w:r w:rsidRPr="00895A49">
              <w:rPr>
                <w:sz w:val="24"/>
                <w:szCs w:val="24"/>
                <w:lang w:eastAsia="uk-UA"/>
              </w:rPr>
              <w:t>5 років</w:t>
            </w:r>
          </w:p>
        </w:tc>
      </w:tr>
      <w:tr w:rsidR="00895A49" w:rsidRPr="00895A49" w:rsidTr="00410EA4">
        <w:trPr>
          <w:trHeight w:val="300"/>
        </w:trPr>
        <w:tc>
          <w:tcPr>
            <w:tcW w:w="5954" w:type="dxa"/>
            <w:shd w:val="clear" w:color="auto" w:fill="auto"/>
            <w:vAlign w:val="center"/>
          </w:tcPr>
          <w:p w:rsidR="00895A49" w:rsidRPr="00895A49" w:rsidRDefault="00895A49" w:rsidP="00895A49">
            <w:pPr>
              <w:pStyle w:val="af7"/>
              <w:widowControl w:val="0"/>
              <w:spacing w:after="0"/>
              <w:jc w:val="both"/>
              <w:rPr>
                <w:sz w:val="24"/>
                <w:szCs w:val="24"/>
                <w:lang w:eastAsia="uk-UA"/>
              </w:rPr>
            </w:pPr>
            <w:r w:rsidRPr="00895A49">
              <w:rPr>
                <w:sz w:val="24"/>
                <w:szCs w:val="24"/>
                <w:lang w:eastAsia="uk-UA"/>
              </w:rPr>
              <w:t xml:space="preserve">Транспортні засоби                                                           </w:t>
            </w:r>
          </w:p>
        </w:tc>
        <w:tc>
          <w:tcPr>
            <w:tcW w:w="2515" w:type="dxa"/>
            <w:shd w:val="clear" w:color="auto" w:fill="auto"/>
            <w:vAlign w:val="center"/>
          </w:tcPr>
          <w:p w:rsidR="00895A49" w:rsidRPr="00895A49" w:rsidRDefault="00895A49" w:rsidP="00895A49">
            <w:pPr>
              <w:pStyle w:val="af7"/>
              <w:widowControl w:val="0"/>
              <w:spacing w:after="0"/>
              <w:jc w:val="both"/>
              <w:rPr>
                <w:sz w:val="24"/>
                <w:szCs w:val="24"/>
                <w:lang w:eastAsia="uk-UA"/>
              </w:rPr>
            </w:pPr>
            <w:r w:rsidRPr="00895A49">
              <w:rPr>
                <w:sz w:val="24"/>
                <w:szCs w:val="24"/>
                <w:lang w:eastAsia="uk-UA"/>
              </w:rPr>
              <w:t>5-8 років</w:t>
            </w:r>
          </w:p>
        </w:tc>
      </w:tr>
      <w:tr w:rsidR="00895A49" w:rsidRPr="00895A49" w:rsidTr="00410EA4">
        <w:trPr>
          <w:trHeight w:val="300"/>
        </w:trPr>
        <w:tc>
          <w:tcPr>
            <w:tcW w:w="5954" w:type="dxa"/>
            <w:shd w:val="clear" w:color="auto" w:fill="auto"/>
            <w:vAlign w:val="center"/>
          </w:tcPr>
          <w:p w:rsidR="00895A49" w:rsidRPr="00895A49" w:rsidRDefault="00895A49" w:rsidP="00895A49">
            <w:pPr>
              <w:pStyle w:val="af7"/>
              <w:widowControl w:val="0"/>
              <w:spacing w:after="0"/>
              <w:jc w:val="both"/>
              <w:rPr>
                <w:sz w:val="24"/>
                <w:szCs w:val="24"/>
                <w:lang w:eastAsia="uk-UA"/>
              </w:rPr>
            </w:pPr>
            <w:r w:rsidRPr="00895A49">
              <w:rPr>
                <w:sz w:val="24"/>
                <w:szCs w:val="24"/>
                <w:lang w:eastAsia="uk-UA"/>
              </w:rPr>
              <w:t xml:space="preserve">Комп’ютерна техніка                                                        </w:t>
            </w:r>
          </w:p>
        </w:tc>
        <w:tc>
          <w:tcPr>
            <w:tcW w:w="2515" w:type="dxa"/>
            <w:shd w:val="clear" w:color="auto" w:fill="auto"/>
            <w:vAlign w:val="center"/>
          </w:tcPr>
          <w:p w:rsidR="00895A49" w:rsidRPr="00895A49" w:rsidRDefault="00895A49" w:rsidP="00895A49">
            <w:pPr>
              <w:pStyle w:val="af7"/>
              <w:widowControl w:val="0"/>
              <w:spacing w:after="0"/>
              <w:jc w:val="both"/>
              <w:rPr>
                <w:sz w:val="24"/>
                <w:szCs w:val="24"/>
                <w:lang w:eastAsia="uk-UA"/>
              </w:rPr>
            </w:pPr>
            <w:r w:rsidRPr="00895A49">
              <w:rPr>
                <w:sz w:val="24"/>
                <w:szCs w:val="24"/>
                <w:lang w:eastAsia="uk-UA"/>
              </w:rPr>
              <w:t>5 років</w:t>
            </w:r>
          </w:p>
        </w:tc>
      </w:tr>
      <w:tr w:rsidR="00895A49" w:rsidRPr="00895A49" w:rsidTr="00410EA4">
        <w:trPr>
          <w:trHeight w:val="300"/>
        </w:trPr>
        <w:tc>
          <w:tcPr>
            <w:tcW w:w="5954" w:type="dxa"/>
            <w:shd w:val="clear" w:color="auto" w:fill="auto"/>
            <w:vAlign w:val="center"/>
          </w:tcPr>
          <w:p w:rsidR="00895A49" w:rsidRPr="00895A49" w:rsidRDefault="00895A49" w:rsidP="00895A49">
            <w:pPr>
              <w:pStyle w:val="af7"/>
              <w:widowControl w:val="0"/>
              <w:spacing w:after="0"/>
              <w:jc w:val="both"/>
              <w:rPr>
                <w:sz w:val="24"/>
                <w:szCs w:val="24"/>
                <w:lang w:eastAsia="uk-UA"/>
              </w:rPr>
            </w:pPr>
            <w:r w:rsidRPr="00895A49">
              <w:rPr>
                <w:sz w:val="24"/>
                <w:szCs w:val="24"/>
                <w:lang w:eastAsia="uk-UA"/>
              </w:rPr>
              <w:t>Інструменти, прилади, інвентар (меблі)</w:t>
            </w:r>
          </w:p>
        </w:tc>
        <w:tc>
          <w:tcPr>
            <w:tcW w:w="2515" w:type="dxa"/>
            <w:shd w:val="clear" w:color="auto" w:fill="auto"/>
            <w:vAlign w:val="center"/>
          </w:tcPr>
          <w:p w:rsidR="00895A49" w:rsidRPr="00895A49" w:rsidRDefault="00895A49" w:rsidP="00895A49">
            <w:pPr>
              <w:pStyle w:val="af7"/>
              <w:widowControl w:val="0"/>
              <w:spacing w:after="0"/>
              <w:jc w:val="both"/>
              <w:rPr>
                <w:sz w:val="24"/>
                <w:szCs w:val="24"/>
                <w:lang w:eastAsia="uk-UA"/>
              </w:rPr>
            </w:pPr>
            <w:r w:rsidRPr="00895A49">
              <w:rPr>
                <w:sz w:val="24"/>
                <w:szCs w:val="24"/>
                <w:lang w:eastAsia="uk-UA"/>
              </w:rPr>
              <w:t>4-5 років</w:t>
            </w:r>
          </w:p>
        </w:tc>
      </w:tr>
      <w:tr w:rsidR="00895A49" w:rsidRPr="00895A49" w:rsidTr="00410EA4">
        <w:trPr>
          <w:trHeight w:val="300"/>
        </w:trPr>
        <w:tc>
          <w:tcPr>
            <w:tcW w:w="5954" w:type="dxa"/>
            <w:shd w:val="clear" w:color="auto" w:fill="auto"/>
            <w:vAlign w:val="center"/>
          </w:tcPr>
          <w:p w:rsidR="00895A49" w:rsidRPr="00895A49" w:rsidRDefault="00895A49" w:rsidP="00895A49">
            <w:pPr>
              <w:pStyle w:val="af7"/>
              <w:widowControl w:val="0"/>
              <w:spacing w:after="0"/>
              <w:jc w:val="both"/>
              <w:rPr>
                <w:sz w:val="24"/>
                <w:szCs w:val="24"/>
                <w:lang w:eastAsia="uk-UA"/>
              </w:rPr>
            </w:pPr>
            <w:r w:rsidRPr="00895A49">
              <w:rPr>
                <w:sz w:val="24"/>
                <w:szCs w:val="24"/>
                <w:lang w:eastAsia="uk-UA"/>
              </w:rPr>
              <w:t xml:space="preserve">Інші основні засоби                                                          </w:t>
            </w:r>
          </w:p>
        </w:tc>
        <w:tc>
          <w:tcPr>
            <w:tcW w:w="2515" w:type="dxa"/>
            <w:shd w:val="clear" w:color="auto" w:fill="auto"/>
            <w:vAlign w:val="center"/>
          </w:tcPr>
          <w:p w:rsidR="00895A49" w:rsidRPr="00895A49" w:rsidRDefault="00895A49" w:rsidP="00895A49">
            <w:pPr>
              <w:pStyle w:val="af7"/>
              <w:widowControl w:val="0"/>
              <w:spacing w:after="0"/>
              <w:jc w:val="both"/>
              <w:rPr>
                <w:sz w:val="24"/>
                <w:szCs w:val="24"/>
                <w:lang w:eastAsia="uk-UA"/>
              </w:rPr>
            </w:pPr>
            <w:r w:rsidRPr="00895A49">
              <w:rPr>
                <w:sz w:val="24"/>
                <w:szCs w:val="24"/>
                <w:lang w:eastAsia="uk-UA"/>
              </w:rPr>
              <w:t>до 12 років</w:t>
            </w:r>
          </w:p>
        </w:tc>
      </w:tr>
    </w:tbl>
    <w:p w:rsidR="00895A49" w:rsidRPr="00895A49" w:rsidRDefault="00895A49" w:rsidP="00895A49">
      <w:pPr>
        <w:pStyle w:val="af7"/>
        <w:widowControl w:val="0"/>
        <w:spacing w:after="0"/>
        <w:jc w:val="both"/>
        <w:rPr>
          <w:sz w:val="24"/>
          <w:szCs w:val="24"/>
        </w:rPr>
      </w:pPr>
      <w:r w:rsidRPr="00895A49">
        <w:rPr>
          <w:sz w:val="24"/>
          <w:szCs w:val="24"/>
        </w:rPr>
        <w:t>Методи нарахування зносу, строки корисного використання та ліквідаційна вартість основних засобів аналізуються в кінці кожного фінансового року та коригуються в разі необхідності.</w:t>
      </w:r>
    </w:p>
    <w:p w:rsidR="00895A49" w:rsidRPr="00895A49" w:rsidRDefault="00895A49" w:rsidP="00895A49">
      <w:pPr>
        <w:pStyle w:val="af7"/>
        <w:widowControl w:val="0"/>
        <w:spacing w:after="0"/>
        <w:jc w:val="both"/>
        <w:rPr>
          <w:b/>
          <w:i/>
          <w:sz w:val="24"/>
          <w:szCs w:val="24"/>
        </w:rPr>
      </w:pPr>
      <w:r w:rsidRPr="00895A49">
        <w:rPr>
          <w:b/>
          <w:i/>
          <w:sz w:val="24"/>
          <w:szCs w:val="24"/>
        </w:rPr>
        <w:t>(з) Нематеріальні активи</w:t>
      </w:r>
    </w:p>
    <w:p w:rsidR="00895A49" w:rsidRPr="00895A49" w:rsidRDefault="00895A49" w:rsidP="00895A49">
      <w:pPr>
        <w:pStyle w:val="af7"/>
        <w:widowControl w:val="0"/>
        <w:spacing w:after="0"/>
        <w:jc w:val="both"/>
        <w:rPr>
          <w:b/>
          <w:i/>
          <w:sz w:val="24"/>
          <w:szCs w:val="24"/>
        </w:rPr>
      </w:pPr>
      <w:r w:rsidRPr="00895A49">
        <w:rPr>
          <w:b/>
          <w:i/>
          <w:sz w:val="24"/>
          <w:szCs w:val="24"/>
        </w:rPr>
        <w:t xml:space="preserve">і) Визнання та оцінка </w:t>
      </w:r>
    </w:p>
    <w:p w:rsidR="00895A49" w:rsidRPr="00895A49" w:rsidRDefault="00895A49" w:rsidP="00895A49">
      <w:pPr>
        <w:pStyle w:val="af7"/>
        <w:widowControl w:val="0"/>
        <w:spacing w:after="0"/>
        <w:jc w:val="both"/>
        <w:rPr>
          <w:sz w:val="24"/>
          <w:szCs w:val="24"/>
        </w:rPr>
      </w:pPr>
      <w:r w:rsidRPr="00895A49">
        <w:rPr>
          <w:sz w:val="24"/>
          <w:szCs w:val="24"/>
        </w:rPr>
        <w:t xml:space="preserve">Нематеріальні активи, придбані окремо або в результаті угод з об'єднання бізнесу, визнаються окремо від гудвіла, якщо вони відповідають визначенню нематеріальних активів і їх справедлива вартість може бути ймовірно визначена. </w:t>
      </w:r>
    </w:p>
    <w:p w:rsidR="00895A49" w:rsidRPr="00895A49" w:rsidRDefault="00895A49" w:rsidP="00895A49">
      <w:pPr>
        <w:pStyle w:val="af7"/>
        <w:widowControl w:val="0"/>
        <w:spacing w:after="0"/>
        <w:jc w:val="both"/>
        <w:rPr>
          <w:sz w:val="24"/>
          <w:szCs w:val="24"/>
        </w:rPr>
      </w:pPr>
      <w:r w:rsidRPr="00895A49">
        <w:rPr>
          <w:sz w:val="24"/>
          <w:szCs w:val="24"/>
        </w:rPr>
        <w:t xml:space="preserve">Нематеріальні активи з певним строком корисного використання, придбані окремо або в результаті угод з об'єднання бізнесу, відображаються по фактичних витратах за винятком накопичених сум амортизації й збитків від знецінення. </w:t>
      </w:r>
    </w:p>
    <w:p w:rsidR="00895A49" w:rsidRPr="00895A49" w:rsidRDefault="00895A49" w:rsidP="00895A49">
      <w:pPr>
        <w:pStyle w:val="af7"/>
        <w:widowControl w:val="0"/>
        <w:spacing w:after="0"/>
        <w:jc w:val="both"/>
        <w:rPr>
          <w:sz w:val="24"/>
          <w:szCs w:val="24"/>
        </w:rPr>
      </w:pPr>
      <w:r w:rsidRPr="00895A49">
        <w:rPr>
          <w:sz w:val="24"/>
          <w:szCs w:val="24"/>
        </w:rPr>
        <w:t xml:space="preserve">Нематеріальні активи з невизначеним строком корисного використання, придбані окремо або в результаті угод по об'єднанню бізнесу, не амортизуються. Тестування нематеріальних активів на знецінення проводиться Компанією щонайменше раз у рік, а також у всіх випадках, коли існують ознаки їх можливого знецінення. Нематеріальні активи з невизначеним строком корисного використання  визнаються по фактичних витратах за винятком збитків від знецінення. </w:t>
      </w:r>
    </w:p>
    <w:p w:rsidR="00895A49" w:rsidRPr="00895A49" w:rsidRDefault="00895A49" w:rsidP="00895A49">
      <w:pPr>
        <w:pStyle w:val="af7"/>
        <w:widowControl w:val="0"/>
        <w:spacing w:after="0"/>
        <w:jc w:val="both"/>
        <w:rPr>
          <w:b/>
          <w:i/>
          <w:sz w:val="24"/>
          <w:szCs w:val="24"/>
        </w:rPr>
      </w:pPr>
      <w:r w:rsidRPr="00895A49">
        <w:rPr>
          <w:b/>
          <w:i/>
          <w:sz w:val="24"/>
          <w:szCs w:val="24"/>
        </w:rPr>
        <w:t>іі) Амортизація</w:t>
      </w:r>
    </w:p>
    <w:p w:rsidR="00895A49" w:rsidRPr="00895A49" w:rsidRDefault="00895A49" w:rsidP="00895A49">
      <w:pPr>
        <w:pStyle w:val="af7"/>
        <w:widowControl w:val="0"/>
        <w:spacing w:after="0"/>
        <w:jc w:val="both"/>
        <w:rPr>
          <w:sz w:val="24"/>
          <w:szCs w:val="24"/>
        </w:rPr>
      </w:pPr>
      <w:r w:rsidRPr="00895A49">
        <w:rPr>
          <w:sz w:val="24"/>
          <w:szCs w:val="24"/>
        </w:rPr>
        <w:t xml:space="preserve">Амортизація розраховується лінійним методом і сприяє рівномірному визнанню витрат на придбання нематеріального активу протягом строку його корисного використання. Строк корисного використання й метод амортизації переглядаються наприкінці кожного звітного року. Зміни застосовуються перспективно. </w:t>
      </w:r>
    </w:p>
    <w:p w:rsidR="00895A49" w:rsidRPr="00895A49" w:rsidRDefault="00895A49" w:rsidP="00895A49">
      <w:pPr>
        <w:pStyle w:val="af7"/>
        <w:widowControl w:val="0"/>
        <w:spacing w:after="0"/>
        <w:jc w:val="both"/>
        <w:rPr>
          <w:sz w:val="24"/>
          <w:szCs w:val="24"/>
        </w:rPr>
      </w:pPr>
      <w:r w:rsidRPr="00895A49">
        <w:rPr>
          <w:sz w:val="24"/>
          <w:szCs w:val="24"/>
        </w:rPr>
        <w:t>Амортизаційні відрахування розраховуються на основі фактичної вартості активу або іншої її величини, що замінює, за винятком залишкової вартості цього активу. Стосовно до нематеріальних активів, відмінних від гудвіла, амортизація нараховується з моменту готовності цих активів до використання й признається в складі прибутку чи збитку за період лінійним способом протягом відповідних строків їх корисного використання, оскільки саме такий метод найбільше точно відображає особливості очікуваного споживання майбутніх економічних вигід, вкладених у відповідні активи.</w:t>
      </w:r>
    </w:p>
    <w:p w:rsidR="00895A49" w:rsidRPr="00895A49" w:rsidRDefault="00895A49" w:rsidP="00895A49">
      <w:pPr>
        <w:pStyle w:val="af7"/>
        <w:widowControl w:val="0"/>
        <w:spacing w:after="0"/>
        <w:ind w:right="-28"/>
        <w:rPr>
          <w:noProof/>
          <w:sz w:val="24"/>
          <w:szCs w:val="24"/>
        </w:rPr>
      </w:pPr>
      <w:r w:rsidRPr="00895A49">
        <w:rPr>
          <w:sz w:val="24"/>
          <w:szCs w:val="24"/>
        </w:rPr>
        <w:t>Строки корисного використання нематеріальних активів:</w:t>
      </w:r>
    </w:p>
    <w:tbl>
      <w:tblPr>
        <w:tblW w:w="8647" w:type="dxa"/>
        <w:tblInd w:w="108" w:type="dxa"/>
        <w:tblLayout w:type="fixed"/>
        <w:tblLook w:val="0000"/>
      </w:tblPr>
      <w:tblGrid>
        <w:gridCol w:w="5812"/>
        <w:gridCol w:w="2835"/>
      </w:tblGrid>
      <w:tr w:rsidR="00895A49" w:rsidRPr="00895A49" w:rsidTr="00410EA4">
        <w:tc>
          <w:tcPr>
            <w:tcW w:w="5812" w:type="dxa"/>
          </w:tcPr>
          <w:p w:rsidR="00895A49" w:rsidRPr="00895A49" w:rsidRDefault="00895A49" w:rsidP="00895A49">
            <w:pPr>
              <w:pStyle w:val="Tabletext"/>
              <w:widowControl w:val="0"/>
              <w:spacing w:before="0" w:after="0"/>
              <w:ind w:left="-108" w:right="-28"/>
              <w:rPr>
                <w:sz w:val="24"/>
                <w:szCs w:val="24"/>
                <w:lang w:val="uk-UA"/>
              </w:rPr>
            </w:pPr>
            <w:r w:rsidRPr="00895A49">
              <w:rPr>
                <w:sz w:val="24"/>
                <w:szCs w:val="24"/>
                <w:lang w:val="uk-UA"/>
              </w:rPr>
              <w:t>Програмне забезпечення</w:t>
            </w:r>
          </w:p>
        </w:tc>
        <w:tc>
          <w:tcPr>
            <w:tcW w:w="2835" w:type="dxa"/>
          </w:tcPr>
          <w:p w:rsidR="00895A49" w:rsidRPr="00895A49" w:rsidRDefault="00895A49" w:rsidP="00895A49">
            <w:pPr>
              <w:pStyle w:val="Tabletext"/>
              <w:widowControl w:val="0"/>
              <w:spacing w:before="0" w:after="0"/>
              <w:ind w:right="-28"/>
              <w:rPr>
                <w:sz w:val="24"/>
                <w:szCs w:val="24"/>
                <w:lang w:val="uk-UA"/>
              </w:rPr>
            </w:pPr>
            <w:r w:rsidRPr="00895A49">
              <w:rPr>
                <w:sz w:val="24"/>
                <w:szCs w:val="24"/>
                <w:lang w:val="uk-UA"/>
              </w:rPr>
              <w:t>2 роки</w:t>
            </w:r>
          </w:p>
        </w:tc>
      </w:tr>
      <w:tr w:rsidR="00895A49" w:rsidRPr="00895A49" w:rsidTr="00410EA4">
        <w:trPr>
          <w:trHeight w:val="120"/>
        </w:trPr>
        <w:tc>
          <w:tcPr>
            <w:tcW w:w="5812" w:type="dxa"/>
          </w:tcPr>
          <w:p w:rsidR="00895A49" w:rsidRPr="00895A49" w:rsidRDefault="00895A49" w:rsidP="00895A49">
            <w:pPr>
              <w:pStyle w:val="Tabletext"/>
              <w:widowControl w:val="0"/>
              <w:spacing w:before="0" w:after="0"/>
              <w:ind w:left="-108" w:right="-28"/>
              <w:rPr>
                <w:sz w:val="24"/>
                <w:szCs w:val="24"/>
                <w:lang w:val="uk-UA"/>
              </w:rPr>
            </w:pPr>
            <w:r w:rsidRPr="00895A49">
              <w:rPr>
                <w:sz w:val="24"/>
                <w:szCs w:val="24"/>
                <w:lang w:val="uk-UA"/>
              </w:rPr>
              <w:t>Інші нематеріальні активи</w:t>
            </w:r>
          </w:p>
        </w:tc>
        <w:tc>
          <w:tcPr>
            <w:tcW w:w="2835" w:type="dxa"/>
          </w:tcPr>
          <w:p w:rsidR="00895A49" w:rsidRPr="00895A49" w:rsidRDefault="00895A49" w:rsidP="00895A49">
            <w:pPr>
              <w:pStyle w:val="Tabletext"/>
              <w:widowControl w:val="0"/>
              <w:spacing w:before="0" w:after="0"/>
              <w:ind w:right="-28"/>
              <w:rPr>
                <w:sz w:val="24"/>
                <w:szCs w:val="24"/>
                <w:lang w:val="uk-UA"/>
              </w:rPr>
            </w:pPr>
            <w:r w:rsidRPr="00895A49">
              <w:rPr>
                <w:sz w:val="24"/>
                <w:szCs w:val="24"/>
                <w:lang w:val="uk-UA"/>
              </w:rPr>
              <w:t>2 – 10 років</w:t>
            </w:r>
          </w:p>
        </w:tc>
      </w:tr>
      <w:tr w:rsidR="00895A49" w:rsidRPr="00895A49" w:rsidTr="00410EA4">
        <w:trPr>
          <w:trHeight w:val="120"/>
        </w:trPr>
        <w:tc>
          <w:tcPr>
            <w:tcW w:w="5812" w:type="dxa"/>
          </w:tcPr>
          <w:p w:rsidR="00895A49" w:rsidRPr="00895A49" w:rsidRDefault="00895A49" w:rsidP="00895A49">
            <w:pPr>
              <w:pStyle w:val="Tabletext"/>
              <w:widowControl w:val="0"/>
              <w:spacing w:before="0" w:after="0"/>
              <w:ind w:left="-108" w:right="-28"/>
              <w:rPr>
                <w:sz w:val="24"/>
                <w:szCs w:val="24"/>
                <w:lang w:val="uk-UA"/>
              </w:rPr>
            </w:pPr>
            <w:r w:rsidRPr="00895A49">
              <w:rPr>
                <w:sz w:val="24"/>
                <w:szCs w:val="24"/>
                <w:lang w:val="uk-UA"/>
              </w:rPr>
              <w:t>Ліцензії</w:t>
            </w:r>
          </w:p>
        </w:tc>
        <w:tc>
          <w:tcPr>
            <w:tcW w:w="2835" w:type="dxa"/>
          </w:tcPr>
          <w:p w:rsidR="00895A49" w:rsidRPr="00895A49" w:rsidRDefault="00895A49" w:rsidP="00895A49">
            <w:pPr>
              <w:pStyle w:val="Tabletext"/>
              <w:widowControl w:val="0"/>
              <w:spacing w:before="0" w:after="0"/>
              <w:ind w:right="-28"/>
              <w:rPr>
                <w:sz w:val="24"/>
                <w:szCs w:val="24"/>
                <w:lang w:val="uk-UA"/>
              </w:rPr>
            </w:pPr>
            <w:r w:rsidRPr="00895A49">
              <w:rPr>
                <w:sz w:val="24"/>
                <w:szCs w:val="24"/>
                <w:lang w:val="uk-UA"/>
              </w:rPr>
              <w:t>безстрокові</w:t>
            </w:r>
          </w:p>
        </w:tc>
      </w:tr>
    </w:tbl>
    <w:p w:rsidR="00895A49" w:rsidRPr="00895A49" w:rsidRDefault="00895A49" w:rsidP="00895A49">
      <w:pPr>
        <w:pStyle w:val="af7"/>
        <w:widowControl w:val="0"/>
        <w:spacing w:after="0"/>
        <w:ind w:right="-28"/>
        <w:rPr>
          <w:b/>
          <w:i/>
          <w:sz w:val="24"/>
          <w:szCs w:val="24"/>
        </w:rPr>
      </w:pPr>
      <w:r w:rsidRPr="00895A49">
        <w:rPr>
          <w:b/>
          <w:i/>
          <w:sz w:val="24"/>
          <w:szCs w:val="24"/>
        </w:rPr>
        <w:t>(и) Оренда</w:t>
      </w:r>
    </w:p>
    <w:p w:rsidR="00895A49" w:rsidRPr="00895A49" w:rsidRDefault="00895A49" w:rsidP="00895A49">
      <w:pPr>
        <w:pStyle w:val="af6"/>
        <w:widowControl w:val="0"/>
        <w:spacing w:before="0" w:beforeAutospacing="0" w:after="0" w:afterAutospacing="0"/>
        <w:jc w:val="both"/>
        <w:rPr>
          <w:rStyle w:val="tlid-translation"/>
          <w:lang w:val="uk-UA"/>
        </w:rPr>
      </w:pPr>
      <w:r w:rsidRPr="00895A49">
        <w:rPr>
          <w:rStyle w:val="tlid-translation"/>
          <w:lang w:val="uk-UA"/>
        </w:rPr>
        <w:t xml:space="preserve">Компанія як орендар перед визнанням на балансі відповідних активів і зобов'язань оцінює чи є договір в цілому або його окремі компоненти договором оренди в значенні, викладеному в МСФЗ 16 Оренда. Договір в цілому або його окремі компоненти є договором оренди, якщо за цим договором передається право контролювати використання ідентифікованого активу протягом </w:t>
      </w:r>
      <w:r w:rsidRPr="00895A49">
        <w:rPr>
          <w:rStyle w:val="tlid-translation"/>
          <w:lang w:val="uk-UA"/>
        </w:rPr>
        <w:lastRenderedPageBreak/>
        <w:t>певного періоду в обмін на відшкодування.</w:t>
      </w:r>
    </w:p>
    <w:p w:rsidR="00895A49" w:rsidRPr="00895A49" w:rsidRDefault="00895A49" w:rsidP="00895A49">
      <w:pPr>
        <w:pStyle w:val="af6"/>
        <w:widowControl w:val="0"/>
        <w:spacing w:before="0" w:beforeAutospacing="0" w:after="0" w:afterAutospacing="0"/>
        <w:jc w:val="both"/>
        <w:rPr>
          <w:lang w:val="uk-UA" w:eastAsia="en-US"/>
        </w:rPr>
      </w:pPr>
      <w:r w:rsidRPr="00895A49">
        <w:rPr>
          <w:lang w:val="uk-UA" w:eastAsia="en-US"/>
        </w:rPr>
        <w:t>Компанією передбачається два звільнення від визнання – відносно оренди активів з низькою вартістю і короткострокової оренди. Компанія розглядає можливість визнавати малоцінними об’єкти оренди, справедливою вартістю менше 50000 грн. При цьому, вартісний критерій не застосовується до тих об’єктів, які за своєю природою не можуть вважатися малоцінними. По договорам з такими активами, в момент укладання договору орендні активи та зобов’язання не визнаються. Витрати відносяться на виробничі, адміністративні або збутові відповідно до цільового використання базових активів Компанією по мірі нарахування чергових платежів до сплати.</w:t>
      </w:r>
    </w:p>
    <w:p w:rsidR="00895A49" w:rsidRPr="00895A49" w:rsidRDefault="00895A49" w:rsidP="00895A49">
      <w:pPr>
        <w:pStyle w:val="af6"/>
        <w:widowControl w:val="0"/>
        <w:spacing w:before="0" w:beforeAutospacing="0" w:after="0" w:afterAutospacing="0"/>
        <w:jc w:val="both"/>
        <w:rPr>
          <w:lang w:val="uk-UA" w:eastAsia="en-US"/>
        </w:rPr>
      </w:pPr>
      <w:r w:rsidRPr="00895A49">
        <w:rPr>
          <w:lang w:val="uk-UA" w:eastAsia="en-US"/>
        </w:rPr>
        <w:t xml:space="preserve">У разі укладення договорів оренди активів вартістю більше 50000 грн. і на термін більше 12 місяців, Компанія оцінюватиме зобов'язання з оренди з поступовим зниженням вартості орендних платежів, які ще не здійснені на цю дату. Орендні платежі дисконтуватимуться з використанням процентної ставки, закладеної в договорі оренди, якщо така ставка може бути легко визначена. Якщо таку ставку визначити неможливо, Компанія використовуватиме середню відсоткову ставку за кредитами банків на початок дії договору оренди. За відсутності кредитів братиметься ставка, за якою Компанія могла б отримати кредит у звітному чи попередньому календарному році за результатами переговорів. Якщо кредити не отримувались і не планувались до отримання, то береться середня за попередній місяць  процентна ставка за довгостроковими кредитами банку в національній валюті для суб’єктів господарювання, опублікована на офіційному сайті НБУ </w:t>
      </w:r>
      <w:hyperlink r:id="rId6" w:history="1">
        <w:r w:rsidRPr="00895A49">
          <w:rPr>
            <w:rStyle w:val="afc"/>
            <w:color w:val="auto"/>
            <w:lang w:val="uk-UA" w:eastAsia="en-US"/>
          </w:rPr>
          <w:t>https://bank.gov.ua/</w:t>
        </w:r>
      </w:hyperlink>
      <w:r w:rsidRPr="00895A49">
        <w:rPr>
          <w:lang w:val="uk-UA" w:eastAsia="en-US"/>
        </w:rPr>
        <w:t>.</w:t>
      </w:r>
    </w:p>
    <w:p w:rsidR="00895A49" w:rsidRPr="00895A49" w:rsidRDefault="00895A49" w:rsidP="00895A49">
      <w:pPr>
        <w:pStyle w:val="af6"/>
        <w:widowControl w:val="0"/>
        <w:spacing w:before="0" w:beforeAutospacing="0" w:after="0" w:afterAutospacing="0"/>
        <w:jc w:val="both"/>
        <w:rPr>
          <w:lang w:val="uk-UA" w:eastAsia="en-US"/>
        </w:rPr>
      </w:pPr>
      <w:r w:rsidRPr="00895A49">
        <w:rPr>
          <w:lang w:val="uk-UA" w:eastAsia="en-US"/>
        </w:rPr>
        <w:t>Якщо договір оренди передбачає індексацію на індекс інфляції або зміну інших істотних умов, передбачених договором, що впливає на розмір орендних платежів на 10% і більше, то така зміна розглядатиметься як модифікація договору.</w:t>
      </w:r>
    </w:p>
    <w:p w:rsidR="00895A49" w:rsidRPr="00895A49" w:rsidRDefault="00895A49" w:rsidP="00895A49">
      <w:pPr>
        <w:pStyle w:val="2"/>
        <w:widowControl w:val="0"/>
        <w:pBdr>
          <w:bottom w:val="none" w:sz="0" w:space="0" w:color="auto"/>
        </w:pBdr>
        <w:spacing w:before="0"/>
        <w:jc w:val="left"/>
        <w:rPr>
          <w:rFonts w:ascii="Times New Roman" w:hAnsi="Times New Roman"/>
          <w:b/>
          <w:i/>
          <w:caps w:val="0"/>
          <w:color w:val="auto"/>
          <w:spacing w:val="0"/>
        </w:rPr>
      </w:pPr>
      <w:r w:rsidRPr="00895A49">
        <w:rPr>
          <w:rFonts w:ascii="Times New Roman" w:hAnsi="Times New Roman"/>
          <w:b/>
          <w:i/>
          <w:caps w:val="0"/>
          <w:color w:val="auto"/>
          <w:spacing w:val="0"/>
        </w:rPr>
        <w:t xml:space="preserve">(й) Процентні доходи та витрати й комісійні доходи </w:t>
      </w:r>
    </w:p>
    <w:p w:rsidR="00895A49" w:rsidRPr="00895A49" w:rsidRDefault="00895A49" w:rsidP="00895A49">
      <w:pPr>
        <w:pStyle w:val="af7"/>
        <w:widowControl w:val="0"/>
        <w:spacing w:after="0"/>
        <w:jc w:val="both"/>
        <w:rPr>
          <w:sz w:val="24"/>
          <w:szCs w:val="24"/>
        </w:rPr>
      </w:pPr>
      <w:r w:rsidRPr="00895A49">
        <w:rPr>
          <w:sz w:val="24"/>
          <w:szCs w:val="24"/>
        </w:rPr>
        <w:t xml:space="preserve">Процентні доходи й витрати відображаються в складі прибутку чи збитку з використанням методу ефективної процентної ставки. </w:t>
      </w:r>
    </w:p>
    <w:p w:rsidR="00895A49" w:rsidRPr="00895A49" w:rsidRDefault="00895A49" w:rsidP="00895A49">
      <w:pPr>
        <w:pStyle w:val="af7"/>
        <w:widowControl w:val="0"/>
        <w:spacing w:after="0"/>
        <w:jc w:val="both"/>
        <w:rPr>
          <w:sz w:val="24"/>
          <w:szCs w:val="24"/>
        </w:rPr>
      </w:pPr>
      <w:r w:rsidRPr="00895A49">
        <w:rPr>
          <w:sz w:val="24"/>
          <w:szCs w:val="24"/>
        </w:rPr>
        <w:t>Процентні доходи й витрати включають амортизацію дисконту або премії, або іншої різниці між первісною вартістю інструмента і його вартістю на дату погашення, визначеної з використанням ефективної процентної ставки.</w:t>
      </w:r>
    </w:p>
    <w:p w:rsidR="00895A49" w:rsidRPr="00895A49" w:rsidRDefault="00895A49" w:rsidP="00895A49">
      <w:pPr>
        <w:pStyle w:val="af7"/>
        <w:widowControl w:val="0"/>
        <w:spacing w:after="0"/>
        <w:ind w:right="-28"/>
        <w:jc w:val="both"/>
        <w:rPr>
          <w:sz w:val="24"/>
          <w:szCs w:val="24"/>
        </w:rPr>
      </w:pPr>
      <w:r w:rsidRPr="00895A49">
        <w:rPr>
          <w:sz w:val="24"/>
          <w:szCs w:val="24"/>
        </w:rPr>
        <w:t xml:space="preserve">Інші комісії, а також інші доходи й витрати відносяться до складу прибутку чи збитку на дату надання відповідної послуги. </w:t>
      </w:r>
    </w:p>
    <w:p w:rsidR="00895A49" w:rsidRPr="00895A49" w:rsidRDefault="00895A49" w:rsidP="00895A49">
      <w:pPr>
        <w:pStyle w:val="2"/>
        <w:widowControl w:val="0"/>
        <w:pBdr>
          <w:bottom w:val="none" w:sz="0" w:space="0" w:color="auto"/>
        </w:pBdr>
        <w:spacing w:before="0"/>
        <w:jc w:val="both"/>
        <w:rPr>
          <w:rFonts w:ascii="Times New Roman" w:hAnsi="Times New Roman"/>
          <w:b/>
          <w:i/>
          <w:caps w:val="0"/>
          <w:color w:val="auto"/>
          <w:spacing w:val="0"/>
        </w:rPr>
      </w:pPr>
      <w:r w:rsidRPr="00895A49">
        <w:rPr>
          <w:rFonts w:ascii="Times New Roman" w:hAnsi="Times New Roman"/>
          <w:b/>
          <w:i/>
          <w:caps w:val="0"/>
          <w:color w:val="auto"/>
          <w:spacing w:val="0"/>
        </w:rPr>
        <w:t>(ііі) Операції в іноземних валютах</w:t>
      </w:r>
    </w:p>
    <w:p w:rsidR="00895A49" w:rsidRPr="00895A49" w:rsidRDefault="00895A49" w:rsidP="00895A49">
      <w:pPr>
        <w:pStyle w:val="af7"/>
        <w:widowControl w:val="0"/>
        <w:spacing w:after="0"/>
        <w:jc w:val="both"/>
        <w:rPr>
          <w:noProof/>
          <w:sz w:val="24"/>
          <w:szCs w:val="24"/>
        </w:rPr>
      </w:pPr>
      <w:r w:rsidRPr="00895A49">
        <w:rPr>
          <w:sz w:val="24"/>
          <w:szCs w:val="24"/>
        </w:rPr>
        <w:t xml:space="preserve">Операції в іноземній валюті переводяться у функціональну валюту Компанії за валютними курсами, що діяли на дати здійснення операцій. Грошові активи й зобов'язання, виражені в іноземній валюті станом на звітну дату, переводяться у функціональну валюту за валютним курсом, що діяв на звітну дату. </w:t>
      </w:r>
      <w:proofErr w:type="spellStart"/>
      <w:r w:rsidRPr="00895A49">
        <w:rPr>
          <w:sz w:val="24"/>
          <w:szCs w:val="24"/>
        </w:rPr>
        <w:t>Негрошові</w:t>
      </w:r>
      <w:proofErr w:type="spellEnd"/>
      <w:r w:rsidRPr="00895A49">
        <w:rPr>
          <w:sz w:val="24"/>
          <w:szCs w:val="24"/>
        </w:rPr>
        <w:t xml:space="preserve"> активи й зобов'язання, виражені в іноземній валюті і відображені по фактичним витратам, перераховуються у функціональну валюту за валютним курсом, що діяв на дату здійснення операції. Курсові різниці, що виникають у результаті перерахунку в іноземну валюту, відображаються у складі прибутку чи збитку. </w:t>
      </w:r>
    </w:p>
    <w:p w:rsidR="00895A49" w:rsidRPr="00895A49" w:rsidRDefault="00895A49" w:rsidP="00895A49">
      <w:pPr>
        <w:pStyle w:val="2"/>
        <w:widowControl w:val="0"/>
        <w:pBdr>
          <w:bottom w:val="none" w:sz="0" w:space="0" w:color="auto"/>
        </w:pBdr>
        <w:spacing w:before="0"/>
        <w:jc w:val="left"/>
        <w:rPr>
          <w:rFonts w:ascii="Times New Roman" w:hAnsi="Times New Roman"/>
          <w:b/>
          <w:i/>
          <w:caps w:val="0"/>
          <w:color w:val="auto"/>
          <w:spacing w:val="0"/>
        </w:rPr>
      </w:pPr>
      <w:r w:rsidRPr="00895A49">
        <w:rPr>
          <w:rFonts w:ascii="Times New Roman" w:hAnsi="Times New Roman"/>
          <w:b/>
          <w:i/>
          <w:caps w:val="0"/>
          <w:color w:val="auto"/>
          <w:spacing w:val="0"/>
        </w:rPr>
        <w:t>(</w:t>
      </w:r>
      <w:r w:rsidRPr="00895A49">
        <w:rPr>
          <w:rFonts w:ascii="Times New Roman" w:hAnsi="Times New Roman"/>
          <w:b/>
          <w:i/>
          <w:caps w:val="0"/>
          <w:color w:val="auto"/>
          <w:spacing w:val="0"/>
          <w:lang w:val="en-US"/>
        </w:rPr>
        <w:t>iv</w:t>
      </w:r>
      <w:r w:rsidRPr="00895A49">
        <w:rPr>
          <w:rFonts w:ascii="Times New Roman" w:hAnsi="Times New Roman"/>
          <w:b/>
          <w:i/>
          <w:caps w:val="0"/>
          <w:color w:val="auto"/>
          <w:spacing w:val="0"/>
        </w:rPr>
        <w:t>) Оподатковування</w:t>
      </w:r>
    </w:p>
    <w:p w:rsidR="00895A49" w:rsidRPr="00895A49" w:rsidRDefault="00895A49" w:rsidP="00895A49">
      <w:pPr>
        <w:pStyle w:val="af7"/>
        <w:widowControl w:val="0"/>
        <w:spacing w:after="0"/>
        <w:jc w:val="both"/>
        <w:rPr>
          <w:sz w:val="24"/>
          <w:szCs w:val="24"/>
        </w:rPr>
      </w:pPr>
      <w:r w:rsidRPr="00895A49">
        <w:rPr>
          <w:sz w:val="24"/>
          <w:szCs w:val="24"/>
        </w:rPr>
        <w:t>Сума податку на прибуток включає суму поточного податку за рік і суму відстроченого податку. Податок на прибуток відображається в складі прибутку чи збитку в повному обсязі, за винятком сум, що відносяться до операцій, відображених у складі іншого сукупного доходу, або до операцій із власниками, відображених безпосередньо на рахунках власного капіталу, які, відповідно, входять в склад іншого сукупного прибутку або безпосередньо в склад власного капіталу.</w:t>
      </w:r>
    </w:p>
    <w:p w:rsidR="00895A49" w:rsidRPr="00895A49" w:rsidRDefault="00895A49" w:rsidP="00895A49">
      <w:pPr>
        <w:pStyle w:val="af7"/>
        <w:widowControl w:val="0"/>
        <w:spacing w:after="0"/>
        <w:jc w:val="both"/>
        <w:rPr>
          <w:b/>
          <w:i/>
          <w:sz w:val="24"/>
          <w:szCs w:val="24"/>
        </w:rPr>
      </w:pPr>
      <w:r w:rsidRPr="00895A49">
        <w:rPr>
          <w:b/>
          <w:i/>
          <w:sz w:val="24"/>
          <w:szCs w:val="24"/>
        </w:rPr>
        <w:t>і) Поточний податок</w:t>
      </w:r>
    </w:p>
    <w:p w:rsidR="00895A49" w:rsidRPr="00895A49" w:rsidRDefault="00895A49" w:rsidP="00895A49">
      <w:pPr>
        <w:pStyle w:val="af7"/>
        <w:widowControl w:val="0"/>
        <w:spacing w:after="0"/>
        <w:jc w:val="both"/>
        <w:rPr>
          <w:sz w:val="24"/>
          <w:szCs w:val="24"/>
        </w:rPr>
      </w:pPr>
      <w:r w:rsidRPr="00895A49">
        <w:rPr>
          <w:sz w:val="24"/>
          <w:szCs w:val="24"/>
        </w:rPr>
        <w:t>Поточний податок на прибуток розраховується виходячи з передбачуваного розміру оподатковуваного прибутку за звітний період з урахуванням ставок по податку на прибуток, що діяли станом на звітну дату, а також суми зобов'язань, що виникли в результаті уточнення сум податку на прибуток за попередні звітні періоди.</w:t>
      </w:r>
    </w:p>
    <w:p w:rsidR="00895A49" w:rsidRPr="00895A49" w:rsidRDefault="00895A49" w:rsidP="00895A49">
      <w:pPr>
        <w:pStyle w:val="af7"/>
        <w:widowControl w:val="0"/>
        <w:spacing w:after="0"/>
        <w:jc w:val="both"/>
        <w:rPr>
          <w:b/>
          <w:i/>
          <w:sz w:val="24"/>
          <w:szCs w:val="24"/>
        </w:rPr>
      </w:pPr>
      <w:r w:rsidRPr="00895A49">
        <w:rPr>
          <w:b/>
          <w:i/>
          <w:sz w:val="24"/>
          <w:szCs w:val="24"/>
        </w:rPr>
        <w:lastRenderedPageBreak/>
        <w:t>іі) Відстрочений податок</w:t>
      </w:r>
    </w:p>
    <w:p w:rsidR="00895A49" w:rsidRPr="00895A49" w:rsidRDefault="00895A49" w:rsidP="00895A49">
      <w:pPr>
        <w:pStyle w:val="af7"/>
        <w:widowControl w:val="0"/>
        <w:spacing w:after="0"/>
        <w:jc w:val="both"/>
        <w:rPr>
          <w:sz w:val="24"/>
          <w:szCs w:val="24"/>
        </w:rPr>
      </w:pPr>
      <w:r w:rsidRPr="00895A49">
        <w:rPr>
          <w:sz w:val="24"/>
          <w:szCs w:val="24"/>
        </w:rPr>
        <w:t xml:space="preserve">Відстрочений податок відображається у відношенні тимчасових різниць активів, що виникають між балансовою вартістю, активів і зобов'язань, що визначаються для цілей їх відображення в фінансовій звітності, і їх податковою базою. Відстрочений податок не визнається у відношенні наступних тимчасових різниць: різниці, пов'язані з відображенням  у фінансовій звітності гудвіла та ті, що  не зменшують базу оподаткування; різниці, що відносяться до активів чи зобов'язань, факт первісного визнання яких не впливає ні на бухгалтерський, ні на оподатковуваний прибуток. </w:t>
      </w:r>
    </w:p>
    <w:p w:rsidR="00895A49" w:rsidRPr="00895A49" w:rsidRDefault="00895A49" w:rsidP="00895A49">
      <w:pPr>
        <w:pStyle w:val="af7"/>
        <w:widowControl w:val="0"/>
        <w:spacing w:after="0"/>
        <w:jc w:val="both"/>
        <w:rPr>
          <w:sz w:val="24"/>
          <w:szCs w:val="24"/>
        </w:rPr>
      </w:pPr>
      <w:r w:rsidRPr="00895A49">
        <w:rPr>
          <w:sz w:val="24"/>
          <w:szCs w:val="24"/>
        </w:rPr>
        <w:t xml:space="preserve">Величина відстроченого податку визначається виходячи зі ставок податку на прибуток, які будуть застосовуватися в майбутньому, у момент відновлення тимчасових різниць, ґрунтуючись на діючих або по суті введених у дію законах станом на звітну дату. </w:t>
      </w:r>
    </w:p>
    <w:p w:rsidR="00895A49" w:rsidRPr="00895A49" w:rsidRDefault="00895A49" w:rsidP="00895A49">
      <w:pPr>
        <w:pStyle w:val="af7"/>
        <w:widowControl w:val="0"/>
        <w:spacing w:after="0"/>
        <w:ind w:right="-28"/>
        <w:jc w:val="both"/>
        <w:rPr>
          <w:sz w:val="24"/>
          <w:szCs w:val="24"/>
        </w:rPr>
      </w:pPr>
      <w:r w:rsidRPr="00895A49">
        <w:rPr>
          <w:sz w:val="24"/>
          <w:szCs w:val="24"/>
        </w:rPr>
        <w:t>Вимоги по відстроченому податку відображаються  в тій мірі, у якій існує ймовірність того, що в майбутньому буде отриманий оподатковуваний прибуток, достатній для покриття тимчасових різниць, неприйнятих витрат по податках і невикористаних податкових пільг. Розмір вимог по відстроченому податку зменшується в тому розмірі, у якому не існує більше ймовірності того, що буде отримана відповідна вигода від реалізації податкових вимог.</w:t>
      </w:r>
    </w:p>
    <w:p w:rsidR="00895A49" w:rsidRPr="00895A49" w:rsidRDefault="00895A49" w:rsidP="00895A49">
      <w:pPr>
        <w:pStyle w:val="af7"/>
        <w:widowControl w:val="0"/>
        <w:spacing w:after="0"/>
        <w:ind w:right="-28"/>
        <w:jc w:val="both"/>
        <w:rPr>
          <w:b/>
          <w:i/>
          <w:sz w:val="24"/>
          <w:szCs w:val="24"/>
        </w:rPr>
      </w:pPr>
      <w:r w:rsidRPr="00895A49">
        <w:rPr>
          <w:b/>
          <w:i/>
          <w:sz w:val="24"/>
          <w:szCs w:val="24"/>
        </w:rPr>
        <w:t>ііі) Методи подання інформації у фінансових звітах</w:t>
      </w:r>
    </w:p>
    <w:p w:rsidR="00895A49" w:rsidRPr="00895A49" w:rsidRDefault="00895A49" w:rsidP="00895A49">
      <w:pPr>
        <w:pStyle w:val="af7"/>
        <w:widowControl w:val="0"/>
        <w:spacing w:after="0"/>
        <w:ind w:right="-28"/>
        <w:jc w:val="both"/>
        <w:rPr>
          <w:sz w:val="24"/>
          <w:szCs w:val="24"/>
        </w:rPr>
      </w:pPr>
      <w:r w:rsidRPr="00895A49">
        <w:rPr>
          <w:sz w:val="24"/>
          <w:szCs w:val="24"/>
        </w:rPr>
        <w:t>Представлення грошових потоків у Звіті про рух грошових коштів здійснюється із застосуванням прямого методу, згідно з яким розкривається інформація про основні види надходжень чи виплат грошових коштів.</w:t>
      </w:r>
    </w:p>
    <w:p w:rsidR="00895A49" w:rsidRPr="00895A49" w:rsidRDefault="00895A49" w:rsidP="00895A49">
      <w:pPr>
        <w:pStyle w:val="ac"/>
        <w:widowControl w:val="0"/>
        <w:ind w:left="0"/>
        <w:contextualSpacing w:val="0"/>
        <w:rPr>
          <w:b/>
          <w:color w:val="000000"/>
          <w:kern w:val="28"/>
          <w:lang w:eastAsia="uk-UA"/>
        </w:rPr>
      </w:pPr>
      <w:r w:rsidRPr="00895A49">
        <w:rPr>
          <w:b/>
        </w:rPr>
        <w:t xml:space="preserve">4. </w:t>
      </w:r>
      <w:r w:rsidRPr="00895A49">
        <w:rPr>
          <w:b/>
          <w:bCs/>
          <w:iCs/>
        </w:rPr>
        <w:t>Стандарти та інтерпретації</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b/>
          <w:i/>
          <w:sz w:val="24"/>
          <w:szCs w:val="24"/>
          <w:lang w:eastAsia="ru-RU"/>
        </w:rPr>
      </w:pPr>
      <w:r w:rsidRPr="00895A49">
        <w:rPr>
          <w:rFonts w:ascii="Times New Roman" w:hAnsi="Times New Roman" w:cs="Times New Roman"/>
          <w:b/>
          <w:i/>
          <w:sz w:val="24"/>
          <w:szCs w:val="24"/>
          <w:lang w:eastAsia="ru-RU"/>
        </w:rPr>
        <w:t>4.1 Зміни до стандартів та інші нововведення, що набувають чинності з 01 січня 2022 року і пізніше</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b/>
          <w:sz w:val="24"/>
          <w:szCs w:val="24"/>
          <w:lang w:eastAsia="ru-RU"/>
        </w:rPr>
      </w:pPr>
      <w:r w:rsidRPr="00895A49">
        <w:rPr>
          <w:rFonts w:ascii="Times New Roman" w:hAnsi="Times New Roman" w:cs="Times New Roman"/>
          <w:b/>
          <w:sz w:val="24"/>
          <w:szCs w:val="24"/>
          <w:lang w:eastAsia="ru-RU"/>
        </w:rPr>
        <w:t>МСФЗ (IFRS) 17 «Страхові контракти»</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 xml:space="preserve">У травні 2017 року Рада з МСФЗ випустила МСФЗ (IFRS) 17 «Страхові контракти», який розглядає питання визнання і оцінки, представлення і розкриття інформації. Коли МСФЗ (IFRS) 17 набуде чинності, він замінить МСФЗ (IFRS) 4 «Страхові контракти», який був випущений в 2005 році. МСФЗ (IFRS) 17 застосовується до усіх видів договорів страхування (тобто страхування життя і страхування, відмінне від страхування життя, пряме страхування і перестрахування) незалежно від виду організації, яка випускає їх, а також до певних гарантій і фінансових інструментів з умовами дискреційної участі. Є декілька виключень зі сфери застосування. Основна мета МСФЗ (IFRS) 17 полягає в наданні моделі обліку договорів страхування, яка є ефективнішою і послідовною для страховиків. На відміну від вимог МСФЗ (IFRS) 4, які в основному базуються на попередніх місцевих облікових політиках, МСФЗ (IFRS) 17 надає всебічну модель обліку договорів страхування, охоплюючи усі доречні аспекти обліку. В основі МСФЗ (IFRS) 17 лежить загальна модель, доповнена наступним: </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 xml:space="preserve">- Певні модифікації для договорів страхування з прямою участю в інвестиційному доході (метод змінної винагороди). </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 xml:space="preserve">- Спрощений підхід (підхід на основі розподілу премії) в основному для короткострокових договорів. </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 xml:space="preserve">МСФЗ (IFRS) 17 набуває чинності відносно звітних періодів, що починаються 1 січня 2023 р. або після цієї дати, при цьому вимагається представити порівняльну інформацію. Допускається дострокове застосування за умови, що організація також застосовує МСФЗ (IFRS) 9 і МСФЗ (IFRS) 15 на дату першого застосування МСФЗ (IFRS) 17 або до неї. </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color w:val="000000"/>
          <w:sz w:val="24"/>
          <w:szCs w:val="24"/>
          <w:shd w:val="clear" w:color="auto" w:fill="FFFFFF"/>
        </w:rPr>
        <w:t xml:space="preserve">На дату подання звітності Національним банком спільно з Міністерством фінансів України здійснюються заходи щодо можливості </w:t>
      </w:r>
      <w:proofErr w:type="spellStart"/>
      <w:r w:rsidRPr="00895A49">
        <w:rPr>
          <w:rFonts w:ascii="Times New Roman" w:hAnsi="Times New Roman" w:cs="Times New Roman"/>
          <w:color w:val="000000"/>
          <w:sz w:val="24"/>
          <w:szCs w:val="24"/>
          <w:shd w:val="clear" w:color="auto" w:fill="FFFFFF"/>
        </w:rPr>
        <w:t>відтермінування</w:t>
      </w:r>
      <w:proofErr w:type="spellEnd"/>
      <w:r w:rsidRPr="00895A49">
        <w:rPr>
          <w:rFonts w:ascii="Times New Roman" w:hAnsi="Times New Roman" w:cs="Times New Roman"/>
          <w:color w:val="000000"/>
          <w:sz w:val="24"/>
          <w:szCs w:val="24"/>
          <w:shd w:val="clear" w:color="auto" w:fill="FFFFFF"/>
        </w:rPr>
        <w:t xml:space="preserve"> запровадження в Україні МСФЗ 17 "Страхові контракти".</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895A49">
        <w:rPr>
          <w:rFonts w:ascii="Times New Roman" w:hAnsi="Times New Roman" w:cs="Times New Roman"/>
          <w:b/>
          <w:bCs/>
          <w:sz w:val="24"/>
          <w:szCs w:val="24"/>
          <w:lang w:eastAsia="ru-RU"/>
        </w:rPr>
        <w:t xml:space="preserve">Поправки до МСБО (IAS) 1 «Подання фінансової Звітності» - Класифікація зобов'язань як поточних або </w:t>
      </w:r>
      <w:proofErr w:type="spellStart"/>
      <w:r w:rsidRPr="00895A49">
        <w:rPr>
          <w:rFonts w:ascii="Times New Roman" w:hAnsi="Times New Roman" w:cs="Times New Roman"/>
          <w:b/>
          <w:bCs/>
          <w:sz w:val="24"/>
          <w:szCs w:val="24"/>
          <w:lang w:eastAsia="ru-RU"/>
        </w:rPr>
        <w:t>непоточних</w:t>
      </w:r>
      <w:proofErr w:type="spellEnd"/>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 xml:space="preserve">У січні 2020 року Рада з МСФЗ випустила поправки до пунктів 69-76 МСБО (IAS) 1, в яких пояснюються вимоги щодо класифікації зобов'язань як поточних або </w:t>
      </w:r>
      <w:proofErr w:type="spellStart"/>
      <w:r w:rsidRPr="00895A49">
        <w:rPr>
          <w:rFonts w:ascii="Times New Roman" w:hAnsi="Times New Roman" w:cs="Times New Roman"/>
          <w:sz w:val="24"/>
          <w:szCs w:val="24"/>
          <w:lang w:eastAsia="ru-RU"/>
        </w:rPr>
        <w:t>непоточних</w:t>
      </w:r>
      <w:proofErr w:type="spellEnd"/>
      <w:r w:rsidRPr="00895A49">
        <w:rPr>
          <w:rFonts w:ascii="Times New Roman" w:hAnsi="Times New Roman" w:cs="Times New Roman"/>
          <w:sz w:val="24"/>
          <w:szCs w:val="24"/>
          <w:lang w:eastAsia="ru-RU"/>
        </w:rPr>
        <w:t xml:space="preserve">. У поправках </w:t>
      </w:r>
      <w:r w:rsidRPr="00895A49">
        <w:rPr>
          <w:rFonts w:ascii="Times New Roman" w:hAnsi="Times New Roman" w:cs="Times New Roman"/>
          <w:sz w:val="24"/>
          <w:szCs w:val="24"/>
          <w:lang w:eastAsia="ru-RU"/>
        </w:rPr>
        <w:lastRenderedPageBreak/>
        <w:t>пояснюється наступне:</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95A49">
        <w:rPr>
          <w:rFonts w:ascii="Times New Roman" w:hAnsi="Times New Roman" w:cs="Times New Roman"/>
          <w:sz w:val="24"/>
          <w:szCs w:val="24"/>
          <w:lang w:eastAsia="ru-RU"/>
        </w:rPr>
        <w:t>що розуміється під правом відстрочити врегулювання зобов'язань;</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95A49">
        <w:rPr>
          <w:rFonts w:ascii="Times New Roman" w:hAnsi="Times New Roman" w:cs="Times New Roman"/>
          <w:sz w:val="24"/>
          <w:szCs w:val="24"/>
          <w:lang w:eastAsia="ru-RU"/>
        </w:rPr>
        <w:t>право відстрочити врегулювання зобов'язань повинно існувати на кінець звітного періоду;</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95A49">
        <w:rPr>
          <w:rFonts w:ascii="Times New Roman" w:hAnsi="Times New Roman" w:cs="Times New Roman"/>
          <w:sz w:val="24"/>
          <w:szCs w:val="24"/>
          <w:lang w:eastAsia="ru-RU"/>
        </w:rPr>
        <w:t>на класифікацію зобов'язань не впливає ймовірність того, що організація виконає своє право відстрочити врегулювання зобов'язання;</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95A49">
        <w:rPr>
          <w:rFonts w:ascii="Times New Roman" w:hAnsi="Times New Roman" w:cs="Times New Roman"/>
          <w:sz w:val="24"/>
          <w:szCs w:val="24"/>
          <w:lang w:eastAsia="ru-RU"/>
        </w:rPr>
        <w:t>умови зобов'язання не впливатимуть на його класифікацію, тільки якщо похідний інструмент, вбудований в конвертоване зобов'язання, сам по собі є інструментом власного капіталу.</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Дані поправки набувають чинності для річних періодів, що починаються 1 січня 2023 року або після цієї дати, і застосовуються ретроспективно. В даний час Компанія аналізує можливий вплив цих поправок на поточну класифікацію зобов'язань і необхідність перегляду умов за існуючими договорами позики.</w:t>
      </w:r>
    </w:p>
    <w:p w:rsidR="00895A49" w:rsidRPr="00895A49" w:rsidRDefault="00895A49" w:rsidP="00895A49">
      <w:pPr>
        <w:widowControl w:val="0"/>
        <w:autoSpaceDE w:val="0"/>
        <w:autoSpaceDN w:val="0"/>
        <w:adjustRightInd w:val="0"/>
        <w:spacing w:after="0" w:line="240" w:lineRule="auto"/>
        <w:rPr>
          <w:rFonts w:ascii="Times New Roman" w:hAnsi="Times New Roman" w:cs="Times New Roman"/>
          <w:sz w:val="24"/>
          <w:szCs w:val="24"/>
          <w:lang w:eastAsia="ru-RU"/>
        </w:rPr>
      </w:pPr>
      <w:r w:rsidRPr="00895A49">
        <w:rPr>
          <w:rFonts w:ascii="Times New Roman" w:hAnsi="Times New Roman" w:cs="Times New Roman"/>
          <w:sz w:val="24"/>
          <w:szCs w:val="24"/>
          <w:lang w:eastAsia="ru-RU"/>
        </w:rPr>
        <w:t>Дана поправка не матиме впливу на фінансовий стан та результати діяльності Компанії</w:t>
      </w:r>
    </w:p>
    <w:p w:rsidR="00895A49" w:rsidRPr="00895A49" w:rsidRDefault="00895A49" w:rsidP="00895A49">
      <w:pPr>
        <w:widowControl w:val="0"/>
        <w:autoSpaceDE w:val="0"/>
        <w:autoSpaceDN w:val="0"/>
        <w:adjustRightInd w:val="0"/>
        <w:spacing w:after="0" w:line="240" w:lineRule="auto"/>
        <w:rPr>
          <w:rFonts w:ascii="Times New Roman" w:hAnsi="Times New Roman" w:cs="Times New Roman"/>
          <w:b/>
          <w:sz w:val="24"/>
          <w:szCs w:val="24"/>
          <w:lang w:eastAsia="ru-RU"/>
        </w:rPr>
      </w:pPr>
      <w:r w:rsidRPr="00895A49">
        <w:rPr>
          <w:rFonts w:ascii="Times New Roman" w:hAnsi="Times New Roman" w:cs="Times New Roman"/>
          <w:b/>
          <w:sz w:val="24"/>
          <w:szCs w:val="24"/>
          <w:lang w:val="ru-RU"/>
        </w:rPr>
        <w:t>П</w:t>
      </w:r>
      <w:r w:rsidRPr="00895A49">
        <w:rPr>
          <w:rFonts w:ascii="Times New Roman" w:hAnsi="Times New Roman" w:cs="Times New Roman"/>
          <w:b/>
          <w:sz w:val="24"/>
          <w:szCs w:val="24"/>
        </w:rPr>
        <w:t>оправки до МСБО</w:t>
      </w:r>
      <w:r w:rsidRPr="00895A49">
        <w:rPr>
          <w:rFonts w:ascii="Times New Roman" w:hAnsi="Times New Roman" w:cs="Times New Roman"/>
          <w:b/>
          <w:sz w:val="24"/>
          <w:szCs w:val="24"/>
          <w:lang w:val="ru-RU"/>
        </w:rPr>
        <w:t xml:space="preserve"> (</w:t>
      </w:r>
      <w:r w:rsidRPr="00895A49">
        <w:rPr>
          <w:rFonts w:ascii="Times New Roman" w:hAnsi="Times New Roman" w:cs="Times New Roman"/>
          <w:b/>
          <w:sz w:val="24"/>
          <w:szCs w:val="24"/>
          <w:lang w:val="en-US"/>
        </w:rPr>
        <w:t>IAS</w:t>
      </w:r>
      <w:r w:rsidRPr="00895A49">
        <w:rPr>
          <w:rFonts w:ascii="Times New Roman" w:hAnsi="Times New Roman" w:cs="Times New Roman"/>
          <w:b/>
          <w:sz w:val="24"/>
          <w:szCs w:val="24"/>
          <w:lang w:val="ru-RU"/>
        </w:rPr>
        <w:t>)</w:t>
      </w:r>
      <w:r w:rsidRPr="00895A49">
        <w:rPr>
          <w:rFonts w:ascii="Times New Roman" w:hAnsi="Times New Roman" w:cs="Times New Roman"/>
          <w:b/>
          <w:sz w:val="24"/>
          <w:szCs w:val="24"/>
        </w:rPr>
        <w:t xml:space="preserve"> 8 «Облікові політики, зміни в облікових оцінках та помилки»</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У лютому 2021 року Рада з МСФЗ випустила поправки до МСБО </w:t>
      </w:r>
      <w:r w:rsidRPr="00895A49">
        <w:rPr>
          <w:rFonts w:ascii="Times New Roman" w:hAnsi="Times New Roman" w:cs="Times New Roman"/>
          <w:sz w:val="24"/>
          <w:szCs w:val="24"/>
          <w:lang w:val="ru-RU"/>
        </w:rPr>
        <w:t>(</w:t>
      </w:r>
      <w:r w:rsidRPr="00895A49">
        <w:rPr>
          <w:rFonts w:ascii="Times New Roman" w:hAnsi="Times New Roman" w:cs="Times New Roman"/>
          <w:sz w:val="24"/>
          <w:szCs w:val="24"/>
          <w:lang w:val="en-US"/>
        </w:rPr>
        <w:t>IAS</w:t>
      </w:r>
      <w:r w:rsidRPr="00895A49">
        <w:rPr>
          <w:rFonts w:ascii="Times New Roman" w:hAnsi="Times New Roman" w:cs="Times New Roman"/>
          <w:sz w:val="24"/>
          <w:szCs w:val="24"/>
          <w:lang w:val="ru-RU"/>
        </w:rPr>
        <w:t xml:space="preserve">) </w:t>
      </w:r>
      <w:r w:rsidRPr="00895A49">
        <w:rPr>
          <w:rFonts w:ascii="Times New Roman" w:hAnsi="Times New Roman" w:cs="Times New Roman"/>
          <w:sz w:val="24"/>
          <w:szCs w:val="24"/>
        </w:rPr>
        <w:t xml:space="preserve">8, якими вводиться визначення «бухгалтерських оцінок». У поправках пояснюється відмінність між змінами в бухгалтерських оцінках та змінами в обліковій політиці і виправленням помилок. Поправки роз’яснюють, що: </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зміни в облікових оцінках, що є наслідком нової інформації або нових розробок, не є виправленням помилок; </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результати зміни вхідних даних або методики оцінки є змінами в облікових оцінках, якщо вони не випливають із виправлення помилок минулих періодів; </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зміни в облікових оцінках можуть впливати лише на прибутки/збитки поточного періоду або поточного та майбутнього періодів. </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Поправки набувають чинності щодо річних звітних періодів, що починаються 1 січня 2023 року або після цієї дати, і застосовуються до змін в обліковій політиці та змін до бухгалтерських оцінок, що відбуваються на дату початку зазначеного періоду або після неї. Дозволяється дострокове застосування за умови розкриття цього факту. Очікується, що ця поправка не матиме суттєвого впливу на фінансову звітність Компанії.</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b/>
          <w:sz w:val="24"/>
          <w:szCs w:val="24"/>
        </w:rPr>
      </w:pPr>
      <w:r w:rsidRPr="00895A49">
        <w:rPr>
          <w:rFonts w:ascii="Times New Roman" w:hAnsi="Times New Roman" w:cs="Times New Roman"/>
          <w:b/>
          <w:sz w:val="24"/>
          <w:szCs w:val="24"/>
        </w:rPr>
        <w:t xml:space="preserve">Поправки до МСБО </w:t>
      </w:r>
      <w:r w:rsidRPr="00895A49">
        <w:rPr>
          <w:rFonts w:ascii="Times New Roman" w:hAnsi="Times New Roman" w:cs="Times New Roman"/>
          <w:b/>
          <w:sz w:val="24"/>
          <w:szCs w:val="24"/>
          <w:lang w:val="ru-RU"/>
        </w:rPr>
        <w:t>(</w:t>
      </w:r>
      <w:r w:rsidRPr="00895A49">
        <w:rPr>
          <w:rFonts w:ascii="Times New Roman" w:hAnsi="Times New Roman" w:cs="Times New Roman"/>
          <w:b/>
          <w:sz w:val="24"/>
          <w:szCs w:val="24"/>
          <w:lang w:val="en-US"/>
        </w:rPr>
        <w:t>IAS</w:t>
      </w:r>
      <w:r w:rsidRPr="00895A49">
        <w:rPr>
          <w:rFonts w:ascii="Times New Roman" w:hAnsi="Times New Roman" w:cs="Times New Roman"/>
          <w:b/>
          <w:sz w:val="24"/>
          <w:szCs w:val="24"/>
          <w:lang w:val="ru-RU"/>
        </w:rPr>
        <w:t>) 1</w:t>
      </w:r>
      <w:r w:rsidRPr="00895A49">
        <w:rPr>
          <w:rFonts w:ascii="Times New Roman" w:hAnsi="Times New Roman" w:cs="Times New Roman"/>
          <w:b/>
          <w:sz w:val="24"/>
          <w:szCs w:val="24"/>
        </w:rPr>
        <w:t>2 «Податки на прибуток»</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У травні 2021 року</w:t>
      </w:r>
      <w:r>
        <w:rPr>
          <w:rFonts w:ascii="Times New Roman" w:hAnsi="Times New Roman" w:cs="Times New Roman"/>
          <w:sz w:val="24"/>
          <w:szCs w:val="24"/>
        </w:rPr>
        <w:t xml:space="preserve"> </w:t>
      </w:r>
      <w:r w:rsidRPr="00895A49">
        <w:rPr>
          <w:rFonts w:ascii="Times New Roman" w:hAnsi="Times New Roman" w:cs="Times New Roman"/>
          <w:sz w:val="24"/>
          <w:szCs w:val="24"/>
        </w:rPr>
        <w:t>Рада з МСФЗ випустила поправки до МСБО (</w:t>
      </w:r>
      <w:r w:rsidRPr="00895A49">
        <w:rPr>
          <w:rFonts w:ascii="Times New Roman" w:hAnsi="Times New Roman" w:cs="Times New Roman"/>
          <w:sz w:val="24"/>
          <w:szCs w:val="24"/>
          <w:lang w:val="en-US"/>
        </w:rPr>
        <w:t>IAS</w:t>
      </w:r>
      <w:r w:rsidRPr="00895A49">
        <w:rPr>
          <w:rFonts w:ascii="Times New Roman" w:hAnsi="Times New Roman" w:cs="Times New Roman"/>
          <w:sz w:val="24"/>
          <w:szCs w:val="24"/>
        </w:rPr>
        <w:t>) 12, які звужують сферу застосування виключень з правил первісного визнання, відповідно до МСБО 12, таким чином, що виключення більше не застосовуються до операцій, які призводять до виникнення рівних тимчасових різниць, що підлягають оподатковуванню та вирахуванню.</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 Виключення застосовується лише в тому випадку, коли визнання активу з права користування та орендного зобов'язання (або зобов'язання та компонента активу з виведення з експлуатації) призводять до виникнення тимчасових різниць, що підлягають оподатковуванню та вирахуванню, які  не є рівними.</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 Поправки також уточнюють, що вирахування в податкових цілях платежів в погашення зобов’язань є питанням судження (відповідно до податкового законодавства) про те, чи відповідають такі вирахування цілям оподаткування для зобов’язання, визнаного в фінансовій звітності) або пов’язаного активу. </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Поправки набирають чинності для річних звітних періодів, що починаються 1 січня 2023 року або пізніше цієї дати. Допускається застосування до цієї дати за умови розкриття інформації про цей факт. Компанія повинна застосовувати поправки до операцій, що відбуваються на початку або після початку самого раннього з представлених порівняльних періодів. Крім того, на початок раннього з представлених порівняльних періодів Компанія повинна визнати відстрочений податковий актив (за умови наявності достатнього оподатковуваного прибутку) та відстрочене податкове зобов'язання щодо всіх тимчасових різниць, що підлягають оподаткуванню, пов'язаних з:</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 - активами з права користування та орендними зобов’язаннями;</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b/>
          <w:iCs/>
          <w:sz w:val="24"/>
          <w:szCs w:val="24"/>
          <w:lang w:eastAsia="ru-RU"/>
        </w:rPr>
      </w:pPr>
      <w:r w:rsidRPr="00895A49">
        <w:rPr>
          <w:rFonts w:ascii="Times New Roman" w:hAnsi="Times New Roman" w:cs="Times New Roman"/>
          <w:sz w:val="24"/>
          <w:szCs w:val="24"/>
        </w:rPr>
        <w:t xml:space="preserve"> - зобов'язаннями та відповідними сумами у складі активів з виведення з експлуатації. Очікується, </w:t>
      </w:r>
      <w:r w:rsidRPr="00895A49">
        <w:rPr>
          <w:rFonts w:ascii="Times New Roman" w:hAnsi="Times New Roman" w:cs="Times New Roman"/>
          <w:sz w:val="24"/>
          <w:szCs w:val="24"/>
        </w:rPr>
        <w:lastRenderedPageBreak/>
        <w:t xml:space="preserve">що ця поправка не матиме суттєвого впливу на фінансову звітність Компанії. </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b/>
          <w:iCs/>
          <w:sz w:val="24"/>
          <w:szCs w:val="24"/>
          <w:lang w:eastAsia="ru-RU"/>
        </w:rPr>
      </w:pPr>
      <w:r w:rsidRPr="00895A49">
        <w:rPr>
          <w:rFonts w:ascii="Times New Roman" w:hAnsi="Times New Roman" w:cs="Times New Roman"/>
          <w:b/>
          <w:iCs/>
          <w:sz w:val="24"/>
          <w:szCs w:val="24"/>
          <w:lang w:eastAsia="ru-RU"/>
        </w:rPr>
        <w:t>Поправки до МСФЗ (IFRS) 10 «Консолідована фінансова звітність» і МСБО (IAS) 28 «Інвестиції в асоційовані та спільні підприємства»</w:t>
      </w:r>
    </w:p>
    <w:p w:rsidR="00895A49" w:rsidRPr="00895A49" w:rsidRDefault="00895A49" w:rsidP="00895A49">
      <w:pPr>
        <w:widowControl w:val="0"/>
        <w:autoSpaceDE w:val="0"/>
        <w:autoSpaceDN w:val="0"/>
        <w:adjustRightInd w:val="0"/>
        <w:spacing w:after="0" w:line="240" w:lineRule="auto"/>
        <w:jc w:val="both"/>
        <w:rPr>
          <w:rFonts w:ascii="Times New Roman" w:eastAsia="Calibri" w:hAnsi="Times New Roman" w:cs="Times New Roman"/>
          <w:sz w:val="24"/>
          <w:szCs w:val="24"/>
        </w:rPr>
      </w:pPr>
      <w:r w:rsidRPr="00895A49">
        <w:rPr>
          <w:rFonts w:ascii="Times New Roman" w:eastAsia="Calibri" w:hAnsi="Times New Roman" w:cs="Times New Roman"/>
          <w:sz w:val="24"/>
          <w:szCs w:val="24"/>
        </w:rPr>
        <w:t xml:space="preserve">Поправки розглядають протиріччя між МСФЗ (IFRS) 10 і МСБО (IAS) 28 в частині обліку втрати контролю над дочірньою організацією, яка продається асоційованій організації або спільному підприємству або вноситься до них. Поправки роз'яснюють, що прибуток або збиток, які виникають в результаті продажу або внеску активів, що є бізнесом згідно з визначенням в МСФЗ (IFRS) 3, в угоді між інвестором і його асоційованою організацією або спільним підприємством, визнаються в повному об'ємі. Проте прибуток або збиток, які виникають в результаті продажу або внеску активів, що не є бізнесом, визнаються тільки в межах часток участі, наявних в інших, ніж організація, інвесторів в асоційованій організації або спільному підприємстві. Рада з МСФЗ перенесла дату набуття чинності цих поправок на невизначений термін, проте організація, що застосовує ці поправки достроково, повинна застосовувати їх перспективно.  </w:t>
      </w:r>
    </w:p>
    <w:p w:rsidR="00895A49" w:rsidRPr="00895A49" w:rsidRDefault="00895A49" w:rsidP="00895A49">
      <w:pPr>
        <w:widowControl w:val="0"/>
        <w:autoSpaceDE w:val="0"/>
        <w:autoSpaceDN w:val="0"/>
        <w:adjustRightInd w:val="0"/>
        <w:spacing w:after="0" w:line="240" w:lineRule="auto"/>
        <w:rPr>
          <w:rFonts w:ascii="Times New Roman" w:hAnsi="Times New Roman" w:cs="Times New Roman"/>
          <w:b/>
          <w:bCs/>
          <w:sz w:val="24"/>
          <w:szCs w:val="24"/>
          <w:lang w:val="ru-RU" w:eastAsia="ru-RU"/>
        </w:rPr>
      </w:pPr>
      <w:r w:rsidRPr="00895A49">
        <w:rPr>
          <w:rFonts w:ascii="Times New Roman" w:hAnsi="Times New Roman" w:cs="Times New Roman"/>
          <w:b/>
          <w:bCs/>
          <w:sz w:val="24"/>
          <w:szCs w:val="24"/>
          <w:lang w:val="ru-RU" w:eastAsia="ru-RU"/>
        </w:rPr>
        <w:t>Поправки до МСФЗ (IFRS) 3 «Об’</w:t>
      </w:r>
      <w:r w:rsidRPr="00895A49">
        <w:rPr>
          <w:rFonts w:ascii="Times New Roman" w:hAnsi="Times New Roman" w:cs="Times New Roman"/>
          <w:b/>
          <w:bCs/>
          <w:sz w:val="24"/>
          <w:szCs w:val="24"/>
          <w:lang w:eastAsia="ru-RU"/>
        </w:rPr>
        <w:t xml:space="preserve">єднання бізнесу» </w:t>
      </w:r>
      <w:r w:rsidRPr="00895A49">
        <w:rPr>
          <w:rFonts w:ascii="Times New Roman" w:hAnsi="Times New Roman" w:cs="Times New Roman"/>
          <w:b/>
          <w:bCs/>
          <w:sz w:val="24"/>
          <w:szCs w:val="24"/>
          <w:lang w:val="ru-RU" w:eastAsia="ru-RU"/>
        </w:rPr>
        <w:t>-</w:t>
      </w:r>
      <w:r w:rsidR="006D4FEE">
        <w:rPr>
          <w:rFonts w:ascii="Times New Roman" w:hAnsi="Times New Roman" w:cs="Times New Roman"/>
          <w:b/>
          <w:bCs/>
          <w:sz w:val="24"/>
          <w:szCs w:val="24"/>
          <w:lang w:val="ru-RU" w:eastAsia="ru-RU"/>
        </w:rPr>
        <w:t xml:space="preserve"> </w:t>
      </w:r>
      <w:proofErr w:type="spellStart"/>
      <w:r w:rsidRPr="00895A49">
        <w:rPr>
          <w:rFonts w:ascii="Times New Roman" w:hAnsi="Times New Roman" w:cs="Times New Roman"/>
          <w:b/>
          <w:bCs/>
          <w:sz w:val="24"/>
          <w:szCs w:val="24"/>
          <w:lang w:val="ru-RU" w:eastAsia="ru-RU"/>
        </w:rPr>
        <w:t>Посилання</w:t>
      </w:r>
      <w:proofErr w:type="spellEnd"/>
      <w:r w:rsidRPr="00895A49">
        <w:rPr>
          <w:rFonts w:ascii="Times New Roman" w:hAnsi="Times New Roman" w:cs="Times New Roman"/>
          <w:b/>
          <w:bCs/>
          <w:sz w:val="24"/>
          <w:szCs w:val="24"/>
          <w:lang w:val="ru-RU" w:eastAsia="ru-RU"/>
        </w:rPr>
        <w:t xml:space="preserve"> на </w:t>
      </w:r>
      <w:proofErr w:type="spellStart"/>
      <w:r w:rsidRPr="00895A49">
        <w:rPr>
          <w:rFonts w:ascii="Times New Roman" w:hAnsi="Times New Roman" w:cs="Times New Roman"/>
          <w:b/>
          <w:bCs/>
          <w:sz w:val="24"/>
          <w:szCs w:val="24"/>
          <w:lang w:val="ru-RU" w:eastAsia="ru-RU"/>
        </w:rPr>
        <w:t>Концептуальн</w:t>
      </w:r>
      <w:proofErr w:type="spellEnd"/>
      <w:r w:rsidRPr="00895A49">
        <w:rPr>
          <w:rFonts w:ascii="Times New Roman" w:hAnsi="Times New Roman" w:cs="Times New Roman"/>
          <w:b/>
          <w:bCs/>
          <w:sz w:val="24"/>
          <w:szCs w:val="24"/>
          <w:lang w:eastAsia="ru-RU"/>
        </w:rPr>
        <w:t>у</w:t>
      </w:r>
      <w:r w:rsidR="006D4FEE">
        <w:rPr>
          <w:rFonts w:ascii="Times New Roman" w:hAnsi="Times New Roman" w:cs="Times New Roman"/>
          <w:b/>
          <w:bCs/>
          <w:sz w:val="24"/>
          <w:szCs w:val="24"/>
          <w:lang w:eastAsia="ru-RU"/>
        </w:rPr>
        <w:t xml:space="preserve"> </w:t>
      </w:r>
      <w:r w:rsidRPr="00895A49">
        <w:rPr>
          <w:rFonts w:ascii="Times New Roman" w:hAnsi="Times New Roman" w:cs="Times New Roman"/>
          <w:b/>
          <w:bCs/>
          <w:sz w:val="24"/>
          <w:szCs w:val="24"/>
          <w:lang w:eastAsia="ru-RU"/>
        </w:rPr>
        <w:t>основу</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 xml:space="preserve">У травні 2020 року Рада з МСФЗ випустила поправки до МСФЗ (IFRS) 3 «Об'єднання </w:t>
      </w:r>
      <w:proofErr w:type="spellStart"/>
      <w:r w:rsidRPr="00895A49">
        <w:rPr>
          <w:rFonts w:ascii="Times New Roman" w:hAnsi="Times New Roman" w:cs="Times New Roman"/>
          <w:sz w:val="24"/>
          <w:szCs w:val="24"/>
          <w:lang w:eastAsia="ru-RU"/>
        </w:rPr>
        <w:t>бізнесів</w:t>
      </w:r>
      <w:proofErr w:type="spellEnd"/>
      <w:r w:rsidRPr="00895A49">
        <w:rPr>
          <w:rFonts w:ascii="Times New Roman" w:hAnsi="Times New Roman" w:cs="Times New Roman"/>
          <w:sz w:val="24"/>
          <w:szCs w:val="24"/>
          <w:lang w:eastAsia="ru-RU"/>
        </w:rPr>
        <w:t>» - «Посилання на концептуальну основу». Мета даних поправок - замінити посилання на «Концепцію підготовки та подання фінансової звітності», випущену в 1989 році, на посилання на «Концептуальну основу подання фінансових звітів», випущену в березні 2018 року, без внесення значних змін у вимоги стандарту.</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Рада також додала виключення з принципу визнання в МСФЗ (IFRS) 3, щоб уникнути виникнення потенційних прибутків або збитків «2-го дня», для зобов'язань і умовних зобов'язань, які відносилися  б до сфери застосування МСБО (IAS) 37 або Роз'яснення КТМФЗ (IFRIC ) 21 «Обов'язкові платежі», якби вони виникали в рамках окремих операцій.</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У той же час Рада вирішила роз'яснити існуючі вимоги МСФЗ (IFRS) 3 щодо умовних активів, на які заміна посилань на «Концепцію підготовки та подання фінансової звітності» не вплине.</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Дані поправки набувають чинності для річних періодів, що починаються 1 січня 2022 року або після цієї дати, і застосовуються перспективно.</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895A49">
        <w:rPr>
          <w:rFonts w:ascii="Times New Roman" w:hAnsi="Times New Roman" w:cs="Times New Roman"/>
          <w:b/>
          <w:bCs/>
          <w:sz w:val="24"/>
          <w:szCs w:val="24"/>
          <w:lang w:eastAsia="ru-RU"/>
        </w:rPr>
        <w:t>Поправки до МСФЗ (</w:t>
      </w:r>
      <w:r w:rsidRPr="00895A49">
        <w:rPr>
          <w:rFonts w:ascii="Times New Roman" w:hAnsi="Times New Roman" w:cs="Times New Roman"/>
          <w:b/>
          <w:bCs/>
          <w:sz w:val="24"/>
          <w:szCs w:val="24"/>
          <w:lang w:val="ru-RU" w:eastAsia="ru-RU"/>
        </w:rPr>
        <w:t>IFRS</w:t>
      </w:r>
      <w:r w:rsidRPr="00895A49">
        <w:rPr>
          <w:rFonts w:ascii="Times New Roman" w:hAnsi="Times New Roman" w:cs="Times New Roman"/>
          <w:b/>
          <w:bCs/>
          <w:sz w:val="24"/>
          <w:szCs w:val="24"/>
          <w:lang w:eastAsia="ru-RU"/>
        </w:rPr>
        <w:t>) 16 «Основні засоби» - Основні засоби: надходження до використання за призначенням»</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У травні 2020 року Рада з МСФЗ випустила документ «Основні засоби: надходження до використання за призначенням», який забороняє підприємствам віднімати з первісної вартості об'єкта основних засобів будь-які надходження від продажу виробів, вироблених в процесі доставки цього об'єкта до місця розташування та приведення його у стан готовності до експлуатації в визначений керівництвом спосіб. Замість цього підприємство визнає надходження від продажу таких виробів, а також вартість їх виробництва в прибутку чи збитку.</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Дані поправки чинні для річних періодів, що починаються 1 січня 2022 року або після цієї дати, і повинні застосовуватися ретроспективно до тих об'єктів основних засобів, які стали доступними для використання на дату початку (або після неї) самого раннього з представлених в фінансової звітності періоду, в якому Компанія вперше застосовує дані поправки.</w:t>
      </w:r>
    </w:p>
    <w:p w:rsidR="00895A49" w:rsidRPr="00895A49" w:rsidRDefault="00895A49" w:rsidP="00895A49">
      <w:pPr>
        <w:widowControl w:val="0"/>
        <w:autoSpaceDE w:val="0"/>
        <w:autoSpaceDN w:val="0"/>
        <w:adjustRightInd w:val="0"/>
        <w:spacing w:after="0" w:line="240" w:lineRule="auto"/>
        <w:rPr>
          <w:rFonts w:ascii="Times New Roman" w:hAnsi="Times New Roman" w:cs="Times New Roman"/>
          <w:sz w:val="24"/>
          <w:szCs w:val="24"/>
          <w:lang w:eastAsia="ru-RU"/>
        </w:rPr>
      </w:pPr>
      <w:r w:rsidRPr="00895A49">
        <w:rPr>
          <w:rFonts w:ascii="Times New Roman" w:hAnsi="Times New Roman" w:cs="Times New Roman"/>
          <w:sz w:val="24"/>
          <w:szCs w:val="24"/>
          <w:lang w:eastAsia="ru-RU"/>
        </w:rPr>
        <w:t>Очікується, що дані поправки не матимуть істотного впливу на Компанію.</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895A49">
        <w:rPr>
          <w:rFonts w:ascii="Times New Roman" w:hAnsi="Times New Roman" w:cs="Times New Roman"/>
          <w:b/>
          <w:bCs/>
          <w:sz w:val="24"/>
          <w:szCs w:val="24"/>
          <w:lang w:eastAsia="ru-RU"/>
        </w:rPr>
        <w:t>Поправка до МСБО (IAS) 41 «Сільське господарство» - оподаткування при оцінці справедливої ​​вартості</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В рамках процесу щорічних удосконалень МСФЗ у період 2018-2020 років, Рада з МСФЗ випустила поправку до МСБО (IAS) 41 «Сільське господарство». Дана поправка виключає вимогу в пункті 22 МСБО (IAS) 41 про те, що підприємства не включають до розрахунку грошові потоки, пов'язані з оподаткуванням, при оцінці справедливої ​​вартості активів, що належать до сфери застосування МСБО (IAS) 41.</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Компанія повинна застосовувати дану поправку перспективно щодо оцінки справедливої ​​вартості на дату початку (або після неї) першого річного звітного періоду, що починається 1 січня 2022 року або після цієї дати. Допускається застосування до цієї дати.</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Очікується, що дана поправка не матиме істотного впливу на Компанію.</w:t>
      </w:r>
    </w:p>
    <w:p w:rsidR="00895A49" w:rsidRPr="00895A49" w:rsidRDefault="00895A49" w:rsidP="00895A49">
      <w:pPr>
        <w:widowControl w:val="0"/>
        <w:autoSpaceDE w:val="0"/>
        <w:autoSpaceDN w:val="0"/>
        <w:adjustRightInd w:val="0"/>
        <w:spacing w:after="0" w:line="240" w:lineRule="auto"/>
        <w:rPr>
          <w:rFonts w:ascii="Times New Roman" w:hAnsi="Times New Roman" w:cs="Times New Roman"/>
          <w:b/>
          <w:bCs/>
          <w:sz w:val="24"/>
          <w:szCs w:val="24"/>
          <w:lang w:eastAsia="ru-RU"/>
        </w:rPr>
      </w:pPr>
      <w:r w:rsidRPr="00895A49">
        <w:rPr>
          <w:rFonts w:ascii="Times New Roman" w:hAnsi="Times New Roman" w:cs="Times New Roman"/>
          <w:b/>
          <w:bCs/>
          <w:sz w:val="24"/>
          <w:szCs w:val="24"/>
          <w:lang w:eastAsia="ru-RU"/>
        </w:rPr>
        <w:lastRenderedPageBreak/>
        <w:t>Поправки до МС</w:t>
      </w:r>
      <w:r w:rsidRPr="00895A49">
        <w:rPr>
          <w:rFonts w:ascii="Times New Roman" w:hAnsi="Times New Roman" w:cs="Times New Roman"/>
          <w:b/>
          <w:bCs/>
          <w:sz w:val="24"/>
          <w:szCs w:val="24"/>
          <w:lang w:val="ru-RU" w:eastAsia="ru-RU"/>
        </w:rPr>
        <w:t>БО</w:t>
      </w:r>
      <w:r w:rsidRPr="00895A49">
        <w:rPr>
          <w:rFonts w:ascii="Times New Roman" w:hAnsi="Times New Roman" w:cs="Times New Roman"/>
          <w:b/>
          <w:bCs/>
          <w:sz w:val="24"/>
          <w:szCs w:val="24"/>
          <w:lang w:eastAsia="ru-RU"/>
        </w:rPr>
        <w:t xml:space="preserve"> (IAS) 37 - «Забезпечення, умовні зобов’язання та умовні активи» - Обтяжливі договори - витрати на виконання договору.</w:t>
      </w:r>
    </w:p>
    <w:p w:rsidR="00895A49" w:rsidRPr="00895A49" w:rsidRDefault="00895A49" w:rsidP="00895A49">
      <w:pPr>
        <w:widowControl w:val="0"/>
        <w:autoSpaceDE w:val="0"/>
        <w:autoSpaceDN w:val="0"/>
        <w:adjustRightInd w:val="0"/>
        <w:spacing w:after="0" w:line="240" w:lineRule="auto"/>
        <w:rPr>
          <w:rFonts w:ascii="Times New Roman" w:hAnsi="Times New Roman" w:cs="Times New Roman"/>
          <w:sz w:val="24"/>
          <w:szCs w:val="24"/>
          <w:lang w:eastAsia="ru-RU"/>
        </w:rPr>
      </w:pPr>
      <w:r w:rsidRPr="00895A49">
        <w:rPr>
          <w:rFonts w:ascii="Times New Roman" w:hAnsi="Times New Roman" w:cs="Times New Roman"/>
          <w:sz w:val="24"/>
          <w:szCs w:val="24"/>
          <w:lang w:eastAsia="ru-RU"/>
        </w:rPr>
        <w:t>У травні 2020 року Рада з МСФЗ випустила поправки до МС</w:t>
      </w:r>
      <w:r w:rsidRPr="00895A49">
        <w:rPr>
          <w:rFonts w:ascii="Times New Roman" w:hAnsi="Times New Roman" w:cs="Times New Roman"/>
          <w:sz w:val="24"/>
          <w:szCs w:val="24"/>
          <w:lang w:val="ru-RU" w:eastAsia="ru-RU"/>
        </w:rPr>
        <w:t>БО</w:t>
      </w:r>
      <w:r w:rsidRPr="00895A49">
        <w:rPr>
          <w:rFonts w:ascii="Times New Roman" w:hAnsi="Times New Roman" w:cs="Times New Roman"/>
          <w:sz w:val="24"/>
          <w:szCs w:val="24"/>
          <w:lang w:eastAsia="ru-RU"/>
        </w:rPr>
        <w:t xml:space="preserve"> (IAS) 37, в яких роз'яснюється, які витрати підприємство повинно враховувати при оцінці того, чи є договір обтяжливим або збитковим.</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Поправки передбачають застосування підходу, заснованого на «витратах, безпосередньо пов'язаних з договором». Витрати, безпосередньо пов'язані з договором на реалізацію товарів або послуг, включають як додаткові витрати на виконання цього договору, так і розподілені витрати, безпосередньо пов'язані з виконанням договору. Загальні і адміністративні витрати не пов'язані безпосередньо з договором і, отже, виключаються, окрім випадків, коли вони явно підлягають відшкодуванню контрагентом за договором.</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Дані поправки набувають чинності для річних періодів, що починаються 1 січня 2022 року або після цієї дати. Компанія буде застосовувати дані поправки до договорів, за якими вона ще не виконала всі свої обов'язки на дату початку річного звітного періоду, в якому вона вперше застосовує дані поправки.</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895A49">
        <w:rPr>
          <w:rFonts w:ascii="Times New Roman" w:hAnsi="Times New Roman" w:cs="Times New Roman"/>
          <w:b/>
          <w:bCs/>
          <w:sz w:val="24"/>
          <w:szCs w:val="24"/>
          <w:lang w:eastAsia="ru-RU"/>
        </w:rPr>
        <w:t>Поправка до МСФЗ (IFRS) 1 «Перше застосування Міжнародних стандартів фінансової звітності» - дочірня організація, вперше застосовує МСФЗ</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В рамках процесу щорічних удосконалень МСФЗ, період 2018-2020 років, Рада з МСФЗ випустила поправку до МСФЗ (IFRS) 1 «Перше застосування Міжнародних стандартів фінансової звітності». Відповідно до даної поправки дочірня компанія, яка вирішує застосувати пункт D16 (a) МСФЗ (IFRS) 1, має право оцінювати накопичені курсові різниці з використанням сум, відображених у фінансовій звітності материнського підприємства, виходячи з дати переходу материнського підприємства на МСФЗ. Дана поправка також може бути застосована до асоційованих компаній та спільних підприємств, які вирішують застосовувати пункт D16 (a) МСФЗ (IFRS) 1.</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Дана поправка набирає чинності для річних звітних періодів, що починаються 1 січня 2022 року або після цієї дати. Допускається застосування до цієї дати.</w:t>
      </w:r>
    </w:p>
    <w:p w:rsidR="00895A49" w:rsidRPr="00895A49" w:rsidRDefault="00895A49" w:rsidP="00895A49">
      <w:pPr>
        <w:widowControl w:val="0"/>
        <w:autoSpaceDE w:val="0"/>
        <w:autoSpaceDN w:val="0"/>
        <w:adjustRightInd w:val="0"/>
        <w:spacing w:after="0" w:line="240" w:lineRule="auto"/>
        <w:rPr>
          <w:rFonts w:ascii="Times New Roman" w:hAnsi="Times New Roman" w:cs="Times New Roman"/>
          <w:b/>
          <w:bCs/>
          <w:sz w:val="24"/>
          <w:szCs w:val="24"/>
          <w:lang w:eastAsia="ru-RU"/>
        </w:rPr>
      </w:pPr>
      <w:r w:rsidRPr="00895A49">
        <w:rPr>
          <w:rFonts w:ascii="Times New Roman" w:hAnsi="Times New Roman" w:cs="Times New Roman"/>
          <w:b/>
          <w:bCs/>
          <w:sz w:val="24"/>
          <w:szCs w:val="24"/>
          <w:lang w:eastAsia="ru-RU"/>
        </w:rPr>
        <w:t>Поправка до МСФЗ (IFRS) 9 «Фінансові інструменти» - комісійна винагорода під час проведення «тесту 10%» в разі припинення визнання фінансових зобов'язань</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В рамках процесу щорічних удосконалень МСФЗ, період 2018-2020 років, Рада з МСФЗ випустила поправку до МСФЗ (IFRS) 9. В поправці пояснюються суми комісійної винагороди, які компанія враховує при оцінці того, чи є умови нового або модифікованого фінансового зобов'язання такими, що істотно відрізняються від умов первісного фінансового зобов'язання. До таких сум відносяться тільки ті комісійні винагороди, які були виплачені або отримані між певним кредитором і позичальником, включаючи комісійну винагороду, виплачену або отримане кредитором або позичальником від імені іншої сторони. Компанія повинна застосовувати дану поправку щодо фінансових зобов'язань, які були модифіковані або замінені на дату початку (або після неї) річного звітного періоду, в якому організація вперше застосовує дану поправку.</w:t>
      </w:r>
    </w:p>
    <w:p w:rsidR="00895A49" w:rsidRPr="00895A49" w:rsidRDefault="00895A49" w:rsidP="00895A4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 xml:space="preserve">Дана поправка набуває чинності для річних звітних періодів, що починаються 1 січня 2022 року або після цієї дати. Допускається застосування до цієї дати.  </w:t>
      </w:r>
    </w:p>
    <w:p w:rsidR="00895A49" w:rsidRPr="00895A49" w:rsidRDefault="00895A49" w:rsidP="00895A49">
      <w:pPr>
        <w:widowControl w:val="0"/>
        <w:autoSpaceDE w:val="0"/>
        <w:autoSpaceDN w:val="0"/>
        <w:adjustRightInd w:val="0"/>
        <w:spacing w:after="0" w:line="240" w:lineRule="auto"/>
        <w:rPr>
          <w:rFonts w:ascii="Times New Roman" w:hAnsi="Times New Roman" w:cs="Times New Roman"/>
          <w:sz w:val="24"/>
          <w:szCs w:val="24"/>
          <w:lang w:eastAsia="ru-RU"/>
        </w:rPr>
      </w:pPr>
      <w:r w:rsidRPr="00895A49">
        <w:rPr>
          <w:rFonts w:ascii="Times New Roman" w:hAnsi="Times New Roman" w:cs="Times New Roman"/>
          <w:sz w:val="24"/>
          <w:szCs w:val="24"/>
          <w:lang w:eastAsia="ru-RU"/>
        </w:rPr>
        <w:t>Очікується, що дана поправка не матиме істотного впливу на Компанію.</w:t>
      </w:r>
    </w:p>
    <w:p w:rsidR="00895A49" w:rsidRPr="00895A49" w:rsidRDefault="00895A49" w:rsidP="00895A49">
      <w:pPr>
        <w:widowControl w:val="0"/>
        <w:spacing w:after="0" w:line="240" w:lineRule="auto"/>
        <w:jc w:val="both"/>
        <w:rPr>
          <w:rFonts w:ascii="Times New Roman" w:hAnsi="Times New Roman" w:cs="Times New Roman"/>
          <w:b/>
          <w:sz w:val="24"/>
          <w:szCs w:val="24"/>
        </w:rPr>
      </w:pPr>
      <w:r w:rsidRPr="00895A49">
        <w:rPr>
          <w:rFonts w:ascii="Times New Roman" w:hAnsi="Times New Roman" w:cs="Times New Roman"/>
          <w:b/>
          <w:sz w:val="24"/>
          <w:szCs w:val="24"/>
        </w:rPr>
        <w:t>5.  Примітки до Звіту про фінансовий стан</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5.1   Нематеріальні активи (р. 1000)</w:t>
      </w:r>
    </w:p>
    <w:tbl>
      <w:tblPr>
        <w:tblW w:w="9639" w:type="dxa"/>
        <w:tblInd w:w="108" w:type="dxa"/>
        <w:tblLook w:val="0000"/>
      </w:tblPr>
      <w:tblGrid>
        <w:gridCol w:w="3890"/>
        <w:gridCol w:w="1649"/>
        <w:gridCol w:w="1756"/>
        <w:gridCol w:w="1075"/>
        <w:gridCol w:w="1260"/>
        <w:gridCol w:w="9"/>
      </w:tblGrid>
      <w:tr w:rsidR="00895A49" w:rsidRPr="00895A49" w:rsidTr="00410EA4">
        <w:trPr>
          <w:gridAfter w:val="1"/>
          <w:wAfter w:w="9" w:type="dxa"/>
          <w:trHeight w:val="502"/>
        </w:trPr>
        <w:tc>
          <w:tcPr>
            <w:tcW w:w="4009" w:type="dxa"/>
            <w:tcBorders>
              <w:bottom w:val="single" w:sz="4" w:space="0" w:color="auto"/>
            </w:tcBorders>
          </w:tcPr>
          <w:p w:rsidR="00895A49" w:rsidRPr="00895A49" w:rsidRDefault="00895A49" w:rsidP="00895A49">
            <w:pPr>
              <w:widowControl w:val="0"/>
              <w:spacing w:after="0" w:line="240" w:lineRule="auto"/>
              <w:rPr>
                <w:rFonts w:ascii="Times New Roman" w:hAnsi="Times New Roman" w:cs="Times New Roman"/>
                <w:sz w:val="24"/>
                <w:szCs w:val="24"/>
              </w:rPr>
            </w:pPr>
          </w:p>
        </w:tc>
        <w:tc>
          <w:tcPr>
            <w:tcW w:w="1588"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Програмне забезпечення</w:t>
            </w:r>
          </w:p>
        </w:tc>
        <w:tc>
          <w:tcPr>
            <w:tcW w:w="1691"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Інші нематеріальні активи</w:t>
            </w:r>
          </w:p>
        </w:tc>
        <w:tc>
          <w:tcPr>
            <w:tcW w:w="1060"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Ліцензії</w:t>
            </w:r>
          </w:p>
        </w:tc>
        <w:tc>
          <w:tcPr>
            <w:tcW w:w="1282"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Разом</w:t>
            </w:r>
          </w:p>
        </w:tc>
      </w:tr>
      <w:tr w:rsidR="00895A49" w:rsidRPr="00895A49" w:rsidTr="00410EA4">
        <w:trPr>
          <w:trHeight w:val="284"/>
        </w:trPr>
        <w:tc>
          <w:tcPr>
            <w:tcW w:w="4009" w:type="dxa"/>
            <w:tcBorders>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i/>
                <w:sz w:val="24"/>
                <w:szCs w:val="24"/>
              </w:rPr>
            </w:pPr>
            <w:r w:rsidRPr="00895A49">
              <w:rPr>
                <w:rFonts w:ascii="Times New Roman" w:hAnsi="Times New Roman" w:cs="Times New Roman"/>
                <w:b/>
                <w:i/>
                <w:sz w:val="24"/>
                <w:szCs w:val="24"/>
              </w:rPr>
              <w:t>Первісна вартість</w:t>
            </w:r>
          </w:p>
        </w:tc>
        <w:tc>
          <w:tcPr>
            <w:tcW w:w="1588"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691"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060"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291" w:type="dxa"/>
            <w:gridSpan w:val="2"/>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trHeight w:val="284"/>
        </w:trPr>
        <w:tc>
          <w:tcPr>
            <w:tcW w:w="4009" w:type="dxa"/>
            <w:tcBorders>
              <w:top w:val="single" w:sz="4" w:space="0" w:color="auto"/>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на 31.12.20</w:t>
            </w:r>
            <w:r w:rsidRPr="00895A49">
              <w:rPr>
                <w:rFonts w:ascii="Times New Roman" w:hAnsi="Times New Roman" w:cs="Times New Roman"/>
                <w:b/>
                <w:sz w:val="24"/>
                <w:szCs w:val="24"/>
                <w:lang w:val="en-US"/>
              </w:rPr>
              <w:t>20</w:t>
            </w:r>
            <w:r w:rsidRPr="00895A49">
              <w:rPr>
                <w:rFonts w:ascii="Times New Roman" w:hAnsi="Times New Roman" w:cs="Times New Roman"/>
                <w:b/>
                <w:sz w:val="24"/>
                <w:szCs w:val="24"/>
              </w:rPr>
              <w:t>р.</w:t>
            </w:r>
          </w:p>
        </w:tc>
        <w:tc>
          <w:tcPr>
            <w:tcW w:w="1588"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259</w:t>
            </w:r>
          </w:p>
        </w:tc>
        <w:tc>
          <w:tcPr>
            <w:tcW w:w="1291" w:type="dxa"/>
            <w:gridSpan w:val="2"/>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388</w:t>
            </w:r>
          </w:p>
        </w:tc>
      </w:tr>
      <w:tr w:rsidR="00895A49" w:rsidRPr="00895A49" w:rsidTr="00410EA4">
        <w:trPr>
          <w:trHeight w:val="284"/>
        </w:trPr>
        <w:tc>
          <w:tcPr>
            <w:tcW w:w="4009" w:type="dxa"/>
            <w:tcBorders>
              <w:top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Придбання (виготовлення)</w:t>
            </w:r>
          </w:p>
        </w:tc>
        <w:tc>
          <w:tcPr>
            <w:tcW w:w="1588"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691"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060"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291" w:type="dxa"/>
            <w:gridSpan w:val="2"/>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284"/>
        </w:trPr>
        <w:tc>
          <w:tcPr>
            <w:tcW w:w="4009" w:type="dxa"/>
            <w:tcBorders>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Вибуття</w:t>
            </w:r>
          </w:p>
        </w:tc>
        <w:tc>
          <w:tcPr>
            <w:tcW w:w="1588"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691"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060"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291" w:type="dxa"/>
            <w:gridSpan w:val="2"/>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284"/>
        </w:trPr>
        <w:tc>
          <w:tcPr>
            <w:tcW w:w="4009" w:type="dxa"/>
            <w:tcBorders>
              <w:top w:val="single" w:sz="4" w:space="0" w:color="auto"/>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lastRenderedPageBreak/>
              <w:t>На 31.03.202</w:t>
            </w:r>
            <w:r w:rsidRPr="00895A49">
              <w:rPr>
                <w:rFonts w:ascii="Times New Roman" w:hAnsi="Times New Roman" w:cs="Times New Roman"/>
                <w:b/>
                <w:sz w:val="24"/>
                <w:szCs w:val="24"/>
                <w:lang w:val="en-US"/>
              </w:rPr>
              <w:t>1</w:t>
            </w:r>
            <w:r w:rsidRPr="00895A49">
              <w:rPr>
                <w:rFonts w:ascii="Times New Roman" w:hAnsi="Times New Roman" w:cs="Times New Roman"/>
                <w:b/>
                <w:sz w:val="24"/>
                <w:szCs w:val="24"/>
              </w:rPr>
              <w:t xml:space="preserve"> р.</w:t>
            </w:r>
          </w:p>
        </w:tc>
        <w:tc>
          <w:tcPr>
            <w:tcW w:w="1588"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259</w:t>
            </w:r>
          </w:p>
        </w:tc>
        <w:tc>
          <w:tcPr>
            <w:tcW w:w="1291" w:type="dxa"/>
            <w:gridSpan w:val="2"/>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388</w:t>
            </w:r>
          </w:p>
        </w:tc>
      </w:tr>
      <w:tr w:rsidR="00895A49" w:rsidRPr="00895A49" w:rsidTr="00410EA4">
        <w:trPr>
          <w:trHeight w:val="284"/>
        </w:trPr>
        <w:tc>
          <w:tcPr>
            <w:tcW w:w="4009" w:type="dxa"/>
            <w:tcBorders>
              <w:top w:val="single" w:sz="4" w:space="0" w:color="auto"/>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i/>
                <w:sz w:val="24"/>
                <w:szCs w:val="24"/>
              </w:rPr>
            </w:pPr>
            <w:r w:rsidRPr="00895A49">
              <w:rPr>
                <w:rFonts w:ascii="Times New Roman" w:hAnsi="Times New Roman" w:cs="Times New Roman"/>
                <w:b/>
                <w:i/>
                <w:sz w:val="24"/>
                <w:szCs w:val="24"/>
              </w:rPr>
              <w:t>Первісна вартість</w:t>
            </w:r>
          </w:p>
        </w:tc>
        <w:tc>
          <w:tcPr>
            <w:tcW w:w="1588"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p>
        </w:tc>
        <w:tc>
          <w:tcPr>
            <w:tcW w:w="1691"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p>
        </w:tc>
        <w:tc>
          <w:tcPr>
            <w:tcW w:w="1060"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p>
        </w:tc>
        <w:tc>
          <w:tcPr>
            <w:tcW w:w="1291" w:type="dxa"/>
            <w:gridSpan w:val="2"/>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p>
        </w:tc>
      </w:tr>
      <w:tr w:rsidR="00895A49" w:rsidRPr="00895A49" w:rsidTr="00410EA4">
        <w:trPr>
          <w:trHeight w:val="284"/>
        </w:trPr>
        <w:tc>
          <w:tcPr>
            <w:tcW w:w="4009" w:type="dxa"/>
            <w:tcBorders>
              <w:top w:val="single" w:sz="4" w:space="0" w:color="auto"/>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на 31.12.2021р.</w:t>
            </w:r>
          </w:p>
        </w:tc>
        <w:tc>
          <w:tcPr>
            <w:tcW w:w="1588"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259</w:t>
            </w:r>
          </w:p>
        </w:tc>
        <w:tc>
          <w:tcPr>
            <w:tcW w:w="1291" w:type="dxa"/>
            <w:gridSpan w:val="2"/>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388</w:t>
            </w:r>
          </w:p>
        </w:tc>
      </w:tr>
      <w:tr w:rsidR="00895A49" w:rsidRPr="00895A49" w:rsidTr="00410EA4">
        <w:trPr>
          <w:trHeight w:val="284"/>
        </w:trPr>
        <w:tc>
          <w:tcPr>
            <w:tcW w:w="4009" w:type="dxa"/>
            <w:tcBorders>
              <w:top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Придбання (виготовлення)</w:t>
            </w:r>
          </w:p>
        </w:tc>
        <w:tc>
          <w:tcPr>
            <w:tcW w:w="1588"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lang w:val="en-US"/>
              </w:rPr>
              <w:t>-</w:t>
            </w:r>
          </w:p>
        </w:tc>
        <w:tc>
          <w:tcPr>
            <w:tcW w:w="1691"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lang w:val="en-US"/>
              </w:rPr>
              <w:t>-</w:t>
            </w:r>
          </w:p>
        </w:tc>
        <w:tc>
          <w:tcPr>
            <w:tcW w:w="1060"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lang w:val="en-US"/>
              </w:rPr>
              <w:t>-</w:t>
            </w:r>
          </w:p>
        </w:tc>
        <w:tc>
          <w:tcPr>
            <w:tcW w:w="1291" w:type="dxa"/>
            <w:gridSpan w:val="2"/>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lang w:val="en-US"/>
              </w:rPr>
              <w:t>-</w:t>
            </w:r>
          </w:p>
        </w:tc>
      </w:tr>
      <w:tr w:rsidR="00895A49" w:rsidRPr="00895A49" w:rsidTr="00410EA4">
        <w:trPr>
          <w:trHeight w:val="284"/>
        </w:trPr>
        <w:tc>
          <w:tcPr>
            <w:tcW w:w="4009" w:type="dxa"/>
            <w:tcBorders>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Вибуття</w:t>
            </w:r>
          </w:p>
        </w:tc>
        <w:tc>
          <w:tcPr>
            <w:tcW w:w="1588"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691"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060"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291" w:type="dxa"/>
            <w:gridSpan w:val="2"/>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trHeight w:val="284"/>
        </w:trPr>
        <w:tc>
          <w:tcPr>
            <w:tcW w:w="4009" w:type="dxa"/>
            <w:tcBorders>
              <w:top w:val="single" w:sz="4" w:space="0" w:color="auto"/>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На 31.</w:t>
            </w:r>
            <w:r w:rsidRPr="00895A49">
              <w:rPr>
                <w:rFonts w:ascii="Times New Roman" w:hAnsi="Times New Roman" w:cs="Times New Roman"/>
                <w:b/>
                <w:sz w:val="24"/>
                <w:szCs w:val="24"/>
                <w:lang w:val="en-US"/>
              </w:rPr>
              <w:t>03</w:t>
            </w:r>
            <w:r w:rsidRPr="00895A49">
              <w:rPr>
                <w:rFonts w:ascii="Times New Roman" w:hAnsi="Times New Roman" w:cs="Times New Roman"/>
                <w:b/>
                <w:sz w:val="24"/>
                <w:szCs w:val="24"/>
              </w:rPr>
              <w:t>.202</w:t>
            </w:r>
            <w:r w:rsidRPr="00895A49">
              <w:rPr>
                <w:rFonts w:ascii="Times New Roman" w:hAnsi="Times New Roman" w:cs="Times New Roman"/>
                <w:b/>
                <w:sz w:val="24"/>
                <w:szCs w:val="24"/>
                <w:lang w:val="en-US"/>
              </w:rPr>
              <w:t>2</w:t>
            </w:r>
            <w:r w:rsidRPr="00895A49">
              <w:rPr>
                <w:rFonts w:ascii="Times New Roman" w:hAnsi="Times New Roman" w:cs="Times New Roman"/>
                <w:b/>
                <w:sz w:val="24"/>
                <w:szCs w:val="24"/>
              </w:rPr>
              <w:t xml:space="preserve"> р.</w:t>
            </w:r>
          </w:p>
        </w:tc>
        <w:tc>
          <w:tcPr>
            <w:tcW w:w="1588"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lang w:val="en-US"/>
              </w:rPr>
            </w:pPr>
            <w:r w:rsidRPr="00895A49">
              <w:rPr>
                <w:rFonts w:ascii="Times New Roman" w:hAnsi="Times New Roman" w:cs="Times New Roman"/>
                <w:b/>
                <w:sz w:val="24"/>
                <w:szCs w:val="24"/>
                <w:lang w:val="en-US"/>
              </w:rPr>
              <w:t>127</w:t>
            </w:r>
          </w:p>
        </w:tc>
        <w:tc>
          <w:tcPr>
            <w:tcW w:w="1691"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lang w:val="en-US"/>
              </w:rPr>
            </w:pPr>
            <w:r w:rsidRPr="00895A49">
              <w:rPr>
                <w:rFonts w:ascii="Times New Roman" w:hAnsi="Times New Roman" w:cs="Times New Roman"/>
                <w:b/>
                <w:sz w:val="24"/>
                <w:szCs w:val="24"/>
                <w:lang w:val="en-US"/>
              </w:rPr>
              <w:t>2</w:t>
            </w:r>
          </w:p>
        </w:tc>
        <w:tc>
          <w:tcPr>
            <w:tcW w:w="1060"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lang w:val="en-US"/>
              </w:rPr>
            </w:pPr>
            <w:r w:rsidRPr="00895A49">
              <w:rPr>
                <w:rFonts w:ascii="Times New Roman" w:hAnsi="Times New Roman" w:cs="Times New Roman"/>
                <w:b/>
                <w:sz w:val="24"/>
                <w:szCs w:val="24"/>
                <w:lang w:val="en-US"/>
              </w:rPr>
              <w:t>259</w:t>
            </w:r>
          </w:p>
        </w:tc>
        <w:tc>
          <w:tcPr>
            <w:tcW w:w="1291" w:type="dxa"/>
            <w:gridSpan w:val="2"/>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lang w:val="en-US"/>
              </w:rPr>
            </w:pPr>
            <w:r w:rsidRPr="00895A49">
              <w:rPr>
                <w:rFonts w:ascii="Times New Roman" w:hAnsi="Times New Roman" w:cs="Times New Roman"/>
                <w:b/>
                <w:sz w:val="24"/>
                <w:szCs w:val="24"/>
                <w:lang w:val="en-US"/>
              </w:rPr>
              <w:t>388</w:t>
            </w:r>
          </w:p>
        </w:tc>
      </w:tr>
      <w:tr w:rsidR="00895A49" w:rsidRPr="00895A49" w:rsidTr="00410EA4">
        <w:trPr>
          <w:trHeight w:val="284"/>
        </w:trPr>
        <w:tc>
          <w:tcPr>
            <w:tcW w:w="4009" w:type="dxa"/>
            <w:tcBorders>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bCs/>
                <w:sz w:val="24"/>
                <w:szCs w:val="24"/>
              </w:rPr>
              <w:t>Накопичена амортизація та знецінення</w:t>
            </w:r>
          </w:p>
        </w:tc>
        <w:tc>
          <w:tcPr>
            <w:tcW w:w="1588"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691"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060"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291" w:type="dxa"/>
            <w:gridSpan w:val="2"/>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trHeight w:val="284"/>
        </w:trPr>
        <w:tc>
          <w:tcPr>
            <w:tcW w:w="4009" w:type="dxa"/>
            <w:tcBorders>
              <w:top w:val="single" w:sz="4" w:space="0" w:color="auto"/>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на 31.12.20</w:t>
            </w:r>
            <w:r w:rsidRPr="00895A49">
              <w:rPr>
                <w:rFonts w:ascii="Times New Roman" w:hAnsi="Times New Roman" w:cs="Times New Roman"/>
                <w:b/>
                <w:sz w:val="24"/>
                <w:szCs w:val="24"/>
                <w:lang w:val="en-US"/>
              </w:rPr>
              <w:t>20</w:t>
            </w:r>
            <w:r w:rsidRPr="00895A49">
              <w:rPr>
                <w:rFonts w:ascii="Times New Roman" w:hAnsi="Times New Roman" w:cs="Times New Roman"/>
                <w:b/>
                <w:sz w:val="24"/>
                <w:szCs w:val="24"/>
              </w:rPr>
              <w:t>р.</w:t>
            </w:r>
          </w:p>
        </w:tc>
        <w:tc>
          <w:tcPr>
            <w:tcW w:w="1588"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w:t>
            </w:r>
          </w:p>
        </w:tc>
        <w:tc>
          <w:tcPr>
            <w:tcW w:w="1291" w:type="dxa"/>
            <w:gridSpan w:val="2"/>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(129)</w:t>
            </w:r>
          </w:p>
        </w:tc>
      </w:tr>
      <w:tr w:rsidR="00895A49" w:rsidRPr="00895A49" w:rsidTr="00410EA4">
        <w:trPr>
          <w:trHeight w:val="284"/>
        </w:trPr>
        <w:tc>
          <w:tcPr>
            <w:tcW w:w="4009" w:type="dxa"/>
            <w:tcBorders>
              <w:top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Амортизація за період</w:t>
            </w:r>
          </w:p>
        </w:tc>
        <w:tc>
          <w:tcPr>
            <w:tcW w:w="1588"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691"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060"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291" w:type="dxa"/>
            <w:gridSpan w:val="2"/>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284"/>
        </w:trPr>
        <w:tc>
          <w:tcPr>
            <w:tcW w:w="4009" w:type="dxa"/>
            <w:tcBorders>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Вибуття</w:t>
            </w:r>
          </w:p>
        </w:tc>
        <w:tc>
          <w:tcPr>
            <w:tcW w:w="1588"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691"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060"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291" w:type="dxa"/>
            <w:gridSpan w:val="2"/>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284"/>
        </w:trPr>
        <w:tc>
          <w:tcPr>
            <w:tcW w:w="4009" w:type="dxa"/>
            <w:tcBorders>
              <w:top w:val="single" w:sz="4" w:space="0" w:color="auto"/>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На 31.03.202</w:t>
            </w:r>
            <w:r w:rsidRPr="00895A49">
              <w:rPr>
                <w:rFonts w:ascii="Times New Roman" w:hAnsi="Times New Roman" w:cs="Times New Roman"/>
                <w:b/>
                <w:sz w:val="24"/>
                <w:szCs w:val="24"/>
                <w:lang w:val="en-US"/>
              </w:rPr>
              <w:t>1</w:t>
            </w:r>
            <w:r w:rsidRPr="00895A49">
              <w:rPr>
                <w:rFonts w:ascii="Times New Roman" w:hAnsi="Times New Roman" w:cs="Times New Roman"/>
                <w:b/>
                <w:sz w:val="24"/>
                <w:szCs w:val="24"/>
              </w:rPr>
              <w:t xml:space="preserve"> р.</w:t>
            </w:r>
          </w:p>
        </w:tc>
        <w:tc>
          <w:tcPr>
            <w:tcW w:w="1588"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p>
        </w:tc>
        <w:tc>
          <w:tcPr>
            <w:tcW w:w="1291" w:type="dxa"/>
            <w:gridSpan w:val="2"/>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(129)</w:t>
            </w:r>
          </w:p>
        </w:tc>
      </w:tr>
      <w:tr w:rsidR="00895A49" w:rsidRPr="00895A49" w:rsidTr="00410EA4">
        <w:trPr>
          <w:trHeight w:val="284"/>
        </w:trPr>
        <w:tc>
          <w:tcPr>
            <w:tcW w:w="4009" w:type="dxa"/>
            <w:tcBorders>
              <w:top w:val="single" w:sz="4" w:space="0" w:color="auto"/>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bCs/>
                <w:sz w:val="24"/>
                <w:szCs w:val="24"/>
              </w:rPr>
              <w:t>Накопичена амортизація та знецінення</w:t>
            </w:r>
          </w:p>
        </w:tc>
        <w:tc>
          <w:tcPr>
            <w:tcW w:w="1588"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p>
        </w:tc>
        <w:tc>
          <w:tcPr>
            <w:tcW w:w="1691"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p>
        </w:tc>
        <w:tc>
          <w:tcPr>
            <w:tcW w:w="1060"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p>
        </w:tc>
        <w:tc>
          <w:tcPr>
            <w:tcW w:w="1291" w:type="dxa"/>
            <w:gridSpan w:val="2"/>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p>
        </w:tc>
      </w:tr>
      <w:tr w:rsidR="00895A49" w:rsidRPr="00895A49" w:rsidTr="00410EA4">
        <w:trPr>
          <w:trHeight w:val="284"/>
        </w:trPr>
        <w:tc>
          <w:tcPr>
            <w:tcW w:w="4009" w:type="dxa"/>
            <w:tcBorders>
              <w:top w:val="single" w:sz="4" w:space="0" w:color="auto"/>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на 31.12.2021р.</w:t>
            </w:r>
          </w:p>
        </w:tc>
        <w:tc>
          <w:tcPr>
            <w:tcW w:w="1588"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w:t>
            </w:r>
          </w:p>
        </w:tc>
        <w:tc>
          <w:tcPr>
            <w:tcW w:w="1291" w:type="dxa"/>
            <w:gridSpan w:val="2"/>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(129)</w:t>
            </w:r>
          </w:p>
        </w:tc>
      </w:tr>
      <w:tr w:rsidR="00895A49" w:rsidRPr="00895A49" w:rsidTr="00410EA4">
        <w:trPr>
          <w:trHeight w:val="284"/>
        </w:trPr>
        <w:tc>
          <w:tcPr>
            <w:tcW w:w="4009" w:type="dxa"/>
            <w:tcBorders>
              <w:top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Амортизація за період</w:t>
            </w:r>
          </w:p>
        </w:tc>
        <w:tc>
          <w:tcPr>
            <w:tcW w:w="1588"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691"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060"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291" w:type="dxa"/>
            <w:gridSpan w:val="2"/>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trHeight w:val="284"/>
        </w:trPr>
        <w:tc>
          <w:tcPr>
            <w:tcW w:w="4009" w:type="dxa"/>
            <w:tcBorders>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Вибуття</w:t>
            </w:r>
          </w:p>
        </w:tc>
        <w:tc>
          <w:tcPr>
            <w:tcW w:w="1588"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lang w:val="en-US"/>
              </w:rPr>
              <w:t>-</w:t>
            </w:r>
          </w:p>
        </w:tc>
        <w:tc>
          <w:tcPr>
            <w:tcW w:w="1691"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lang w:val="en-US"/>
              </w:rPr>
              <w:t>-</w:t>
            </w:r>
          </w:p>
        </w:tc>
        <w:tc>
          <w:tcPr>
            <w:tcW w:w="1060"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lang w:val="en-US"/>
              </w:rPr>
              <w:t>-</w:t>
            </w:r>
          </w:p>
        </w:tc>
        <w:tc>
          <w:tcPr>
            <w:tcW w:w="1291" w:type="dxa"/>
            <w:gridSpan w:val="2"/>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lang w:val="en-US"/>
              </w:rPr>
              <w:t>-</w:t>
            </w:r>
          </w:p>
        </w:tc>
      </w:tr>
      <w:tr w:rsidR="00895A49" w:rsidRPr="00895A49" w:rsidTr="00410EA4">
        <w:trPr>
          <w:trHeight w:val="284"/>
        </w:trPr>
        <w:tc>
          <w:tcPr>
            <w:tcW w:w="4009" w:type="dxa"/>
            <w:tcBorders>
              <w:top w:val="single" w:sz="4" w:space="0" w:color="auto"/>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На 31.</w:t>
            </w:r>
            <w:r w:rsidRPr="00895A49">
              <w:rPr>
                <w:rFonts w:ascii="Times New Roman" w:hAnsi="Times New Roman" w:cs="Times New Roman"/>
                <w:b/>
                <w:sz w:val="24"/>
                <w:szCs w:val="24"/>
                <w:lang w:val="en-US"/>
              </w:rPr>
              <w:t>03</w:t>
            </w:r>
            <w:r w:rsidRPr="00895A49">
              <w:rPr>
                <w:rFonts w:ascii="Times New Roman" w:hAnsi="Times New Roman" w:cs="Times New Roman"/>
                <w:b/>
                <w:sz w:val="24"/>
                <w:szCs w:val="24"/>
              </w:rPr>
              <w:t>.202</w:t>
            </w:r>
            <w:r w:rsidRPr="00895A49">
              <w:rPr>
                <w:rFonts w:ascii="Times New Roman" w:hAnsi="Times New Roman" w:cs="Times New Roman"/>
                <w:b/>
                <w:sz w:val="24"/>
                <w:szCs w:val="24"/>
                <w:lang w:val="en-US"/>
              </w:rPr>
              <w:t>2</w:t>
            </w:r>
            <w:r w:rsidRPr="00895A49">
              <w:rPr>
                <w:rFonts w:ascii="Times New Roman" w:hAnsi="Times New Roman" w:cs="Times New Roman"/>
                <w:b/>
                <w:sz w:val="24"/>
                <w:szCs w:val="24"/>
              </w:rPr>
              <w:t xml:space="preserve"> р.</w:t>
            </w:r>
          </w:p>
        </w:tc>
        <w:tc>
          <w:tcPr>
            <w:tcW w:w="1588"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lang w:val="en-US"/>
              </w:rPr>
            </w:pPr>
            <w:r w:rsidRPr="00895A49">
              <w:rPr>
                <w:rFonts w:ascii="Times New Roman" w:hAnsi="Times New Roman" w:cs="Times New Roman"/>
                <w:b/>
                <w:sz w:val="24"/>
                <w:szCs w:val="24"/>
                <w:lang w:val="en-US"/>
              </w:rPr>
              <w:t>(127)</w:t>
            </w:r>
          </w:p>
        </w:tc>
        <w:tc>
          <w:tcPr>
            <w:tcW w:w="1691"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lang w:val="en-US"/>
              </w:rPr>
            </w:pPr>
            <w:r w:rsidRPr="00895A49">
              <w:rPr>
                <w:rFonts w:ascii="Times New Roman" w:hAnsi="Times New Roman" w:cs="Times New Roman"/>
                <w:b/>
                <w:sz w:val="24"/>
                <w:szCs w:val="24"/>
                <w:lang w:val="en-US"/>
              </w:rPr>
              <w:t>(2)</w:t>
            </w:r>
          </w:p>
        </w:tc>
        <w:tc>
          <w:tcPr>
            <w:tcW w:w="1060"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p>
        </w:tc>
        <w:tc>
          <w:tcPr>
            <w:tcW w:w="1291" w:type="dxa"/>
            <w:gridSpan w:val="2"/>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lang w:val="en-US"/>
              </w:rPr>
            </w:pPr>
            <w:r w:rsidRPr="00895A49">
              <w:rPr>
                <w:rFonts w:ascii="Times New Roman" w:hAnsi="Times New Roman" w:cs="Times New Roman"/>
                <w:b/>
                <w:sz w:val="24"/>
                <w:szCs w:val="24"/>
                <w:lang w:val="en-US"/>
              </w:rPr>
              <w:t>(129)</w:t>
            </w:r>
          </w:p>
        </w:tc>
      </w:tr>
      <w:tr w:rsidR="00895A49" w:rsidRPr="00895A49" w:rsidTr="00410EA4">
        <w:trPr>
          <w:trHeight w:val="284"/>
        </w:trPr>
        <w:tc>
          <w:tcPr>
            <w:tcW w:w="4009" w:type="dxa"/>
            <w:tcBorders>
              <w:top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sz w:val="24"/>
                <w:szCs w:val="24"/>
              </w:rPr>
            </w:pPr>
          </w:p>
        </w:tc>
        <w:tc>
          <w:tcPr>
            <w:tcW w:w="1588"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691"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060"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291" w:type="dxa"/>
            <w:gridSpan w:val="2"/>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trHeight w:val="284"/>
        </w:trPr>
        <w:tc>
          <w:tcPr>
            <w:tcW w:w="4009" w:type="dxa"/>
            <w:tcBorders>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Чиста балансова вартість станом на</w:t>
            </w:r>
          </w:p>
        </w:tc>
        <w:tc>
          <w:tcPr>
            <w:tcW w:w="1588"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691"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060" w:type="dxa"/>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291" w:type="dxa"/>
            <w:gridSpan w:val="2"/>
            <w:tcBorders>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trHeight w:val="284"/>
        </w:trPr>
        <w:tc>
          <w:tcPr>
            <w:tcW w:w="4009" w:type="dxa"/>
            <w:tcBorders>
              <w:top w:val="single" w:sz="4" w:space="0" w:color="auto"/>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31.12.20</w:t>
            </w:r>
            <w:r w:rsidRPr="00895A49">
              <w:rPr>
                <w:rFonts w:ascii="Times New Roman" w:hAnsi="Times New Roman" w:cs="Times New Roman"/>
                <w:b/>
                <w:sz w:val="24"/>
                <w:szCs w:val="24"/>
                <w:lang w:val="en-US"/>
              </w:rPr>
              <w:t>2</w:t>
            </w:r>
            <w:r w:rsidRPr="00895A49">
              <w:rPr>
                <w:rFonts w:ascii="Times New Roman" w:hAnsi="Times New Roman" w:cs="Times New Roman"/>
                <w:b/>
                <w:sz w:val="24"/>
                <w:szCs w:val="24"/>
              </w:rPr>
              <w:t>0</w:t>
            </w:r>
          </w:p>
        </w:tc>
        <w:tc>
          <w:tcPr>
            <w:tcW w:w="1588"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w:t>
            </w:r>
          </w:p>
        </w:tc>
        <w:tc>
          <w:tcPr>
            <w:tcW w:w="1691"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w:t>
            </w:r>
          </w:p>
        </w:tc>
        <w:tc>
          <w:tcPr>
            <w:tcW w:w="1060"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259</w:t>
            </w:r>
          </w:p>
        </w:tc>
        <w:tc>
          <w:tcPr>
            <w:tcW w:w="1291" w:type="dxa"/>
            <w:gridSpan w:val="2"/>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259</w:t>
            </w:r>
          </w:p>
        </w:tc>
      </w:tr>
      <w:tr w:rsidR="00895A49" w:rsidRPr="00895A49" w:rsidTr="00410EA4">
        <w:trPr>
          <w:trHeight w:val="284"/>
        </w:trPr>
        <w:tc>
          <w:tcPr>
            <w:tcW w:w="4009" w:type="dxa"/>
            <w:tcBorders>
              <w:top w:val="single" w:sz="4" w:space="0" w:color="auto"/>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31.03.202</w:t>
            </w:r>
            <w:r w:rsidRPr="00895A49">
              <w:rPr>
                <w:rFonts w:ascii="Times New Roman" w:hAnsi="Times New Roman" w:cs="Times New Roman"/>
                <w:b/>
                <w:sz w:val="24"/>
                <w:szCs w:val="24"/>
                <w:lang w:val="en-US"/>
              </w:rPr>
              <w:t>1</w:t>
            </w:r>
          </w:p>
        </w:tc>
        <w:tc>
          <w:tcPr>
            <w:tcW w:w="1588"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w:t>
            </w:r>
          </w:p>
        </w:tc>
        <w:tc>
          <w:tcPr>
            <w:tcW w:w="1691"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w:t>
            </w:r>
          </w:p>
        </w:tc>
        <w:tc>
          <w:tcPr>
            <w:tcW w:w="1060"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259</w:t>
            </w:r>
          </w:p>
        </w:tc>
        <w:tc>
          <w:tcPr>
            <w:tcW w:w="1291" w:type="dxa"/>
            <w:gridSpan w:val="2"/>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259</w:t>
            </w:r>
          </w:p>
        </w:tc>
      </w:tr>
      <w:tr w:rsidR="00895A49" w:rsidRPr="00895A49" w:rsidTr="00410EA4">
        <w:trPr>
          <w:trHeight w:val="284"/>
        </w:trPr>
        <w:tc>
          <w:tcPr>
            <w:tcW w:w="4009" w:type="dxa"/>
            <w:tcBorders>
              <w:top w:val="single" w:sz="4" w:space="0" w:color="auto"/>
              <w:bottom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31.12.2021</w:t>
            </w:r>
          </w:p>
        </w:tc>
        <w:tc>
          <w:tcPr>
            <w:tcW w:w="1588"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w:t>
            </w:r>
          </w:p>
        </w:tc>
        <w:tc>
          <w:tcPr>
            <w:tcW w:w="1691"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w:t>
            </w:r>
          </w:p>
        </w:tc>
        <w:tc>
          <w:tcPr>
            <w:tcW w:w="1060" w:type="dxa"/>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259</w:t>
            </w:r>
          </w:p>
        </w:tc>
        <w:tc>
          <w:tcPr>
            <w:tcW w:w="1291" w:type="dxa"/>
            <w:gridSpan w:val="2"/>
            <w:tcBorders>
              <w:top w:val="single" w:sz="4" w:space="0" w:color="auto"/>
              <w:bottom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259</w:t>
            </w:r>
          </w:p>
        </w:tc>
      </w:tr>
      <w:tr w:rsidR="00895A49" w:rsidRPr="00895A49" w:rsidTr="00410EA4">
        <w:trPr>
          <w:trHeight w:val="284"/>
        </w:trPr>
        <w:tc>
          <w:tcPr>
            <w:tcW w:w="4009" w:type="dxa"/>
            <w:tcBorders>
              <w:top w:val="single" w:sz="4" w:space="0" w:color="auto"/>
            </w:tcBorders>
            <w:vAlign w:val="center"/>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31.</w:t>
            </w:r>
            <w:r w:rsidRPr="00895A49">
              <w:rPr>
                <w:rFonts w:ascii="Times New Roman" w:hAnsi="Times New Roman" w:cs="Times New Roman"/>
                <w:b/>
                <w:sz w:val="24"/>
                <w:szCs w:val="24"/>
                <w:lang w:val="en-US"/>
              </w:rPr>
              <w:t>03</w:t>
            </w:r>
            <w:r w:rsidRPr="00895A49">
              <w:rPr>
                <w:rFonts w:ascii="Times New Roman" w:hAnsi="Times New Roman" w:cs="Times New Roman"/>
                <w:b/>
                <w:sz w:val="24"/>
                <w:szCs w:val="24"/>
              </w:rPr>
              <w:t>.202</w:t>
            </w:r>
            <w:r w:rsidRPr="00895A49">
              <w:rPr>
                <w:rFonts w:ascii="Times New Roman" w:hAnsi="Times New Roman" w:cs="Times New Roman"/>
                <w:b/>
                <w:sz w:val="24"/>
                <w:szCs w:val="24"/>
                <w:lang w:val="en-US"/>
              </w:rPr>
              <w:t>2</w:t>
            </w:r>
          </w:p>
        </w:tc>
        <w:tc>
          <w:tcPr>
            <w:tcW w:w="1588"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w:t>
            </w:r>
          </w:p>
        </w:tc>
        <w:tc>
          <w:tcPr>
            <w:tcW w:w="1691"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w:t>
            </w:r>
          </w:p>
        </w:tc>
        <w:tc>
          <w:tcPr>
            <w:tcW w:w="1060" w:type="dxa"/>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259</w:t>
            </w:r>
          </w:p>
        </w:tc>
        <w:tc>
          <w:tcPr>
            <w:tcW w:w="1291" w:type="dxa"/>
            <w:gridSpan w:val="2"/>
            <w:tcBorders>
              <w:top w:val="single" w:sz="4" w:space="0" w:color="auto"/>
            </w:tcBorders>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259</w:t>
            </w:r>
          </w:p>
        </w:tc>
      </w:tr>
    </w:tbl>
    <w:p w:rsidR="00895A49" w:rsidRPr="00895A49" w:rsidRDefault="00895A49" w:rsidP="00895A49">
      <w:pPr>
        <w:widowControl w:val="0"/>
        <w:spacing w:after="0" w:line="240" w:lineRule="auto"/>
        <w:jc w:val="both"/>
        <w:rPr>
          <w:rFonts w:ascii="Times New Roman" w:hAnsi="Times New Roman" w:cs="Times New Roman"/>
          <w:b/>
          <w:i/>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5.2 Основні засоби (р. 1010)</w:t>
      </w:r>
    </w:p>
    <w:p w:rsidR="00895A49" w:rsidRPr="00895A49" w:rsidRDefault="00895A49" w:rsidP="00895A49">
      <w:pPr>
        <w:widowControl w:val="0"/>
        <w:spacing w:after="0" w:line="240" w:lineRule="auto"/>
        <w:rPr>
          <w:rFonts w:ascii="Times New Roman" w:hAnsi="Times New Roman" w:cs="Times New Roman"/>
          <w:b/>
          <w:sz w:val="24"/>
          <w:szCs w:val="24"/>
        </w:rPr>
      </w:pPr>
    </w:p>
    <w:tbl>
      <w:tblPr>
        <w:tblW w:w="9112" w:type="dxa"/>
        <w:tblInd w:w="108" w:type="dxa"/>
        <w:tblLook w:val="0000"/>
      </w:tblPr>
      <w:tblGrid>
        <w:gridCol w:w="1639"/>
        <w:gridCol w:w="1083"/>
        <w:gridCol w:w="1391"/>
        <w:gridCol w:w="1475"/>
        <w:gridCol w:w="1757"/>
        <w:gridCol w:w="21"/>
        <w:gridCol w:w="935"/>
        <w:gridCol w:w="66"/>
        <w:gridCol w:w="902"/>
      </w:tblGrid>
      <w:tr w:rsidR="006D4FEE" w:rsidRPr="006D4FEE" w:rsidTr="006D4FEE">
        <w:trPr>
          <w:trHeight w:val="397"/>
        </w:trPr>
        <w:tc>
          <w:tcPr>
            <w:tcW w:w="1292" w:type="dxa"/>
            <w:tcBorders>
              <w:bottom w:val="single" w:sz="4" w:space="0" w:color="auto"/>
            </w:tcBorders>
            <w:vAlign w:val="center"/>
          </w:tcPr>
          <w:p w:rsidR="00895A49" w:rsidRPr="006D4FEE" w:rsidRDefault="00895A49" w:rsidP="00895A49">
            <w:pPr>
              <w:widowControl w:val="0"/>
              <w:spacing w:after="0" w:line="240" w:lineRule="auto"/>
              <w:jc w:val="center"/>
              <w:rPr>
                <w:rFonts w:ascii="Times New Roman" w:hAnsi="Times New Roman" w:cs="Times New Roman"/>
              </w:rPr>
            </w:pPr>
          </w:p>
        </w:tc>
        <w:tc>
          <w:tcPr>
            <w:tcW w:w="872" w:type="dxa"/>
            <w:tcBorders>
              <w:bottom w:val="single" w:sz="4" w:space="0" w:color="auto"/>
            </w:tcBorders>
            <w:vAlign w:val="center"/>
          </w:tcPr>
          <w:p w:rsidR="00895A49" w:rsidRPr="006D4FEE" w:rsidRDefault="00895A49" w:rsidP="00895A49">
            <w:pPr>
              <w:widowControl w:val="0"/>
              <w:spacing w:after="0" w:line="240" w:lineRule="auto"/>
              <w:jc w:val="center"/>
              <w:rPr>
                <w:rFonts w:ascii="Times New Roman" w:hAnsi="Times New Roman" w:cs="Times New Roman"/>
                <w:b/>
              </w:rPr>
            </w:pPr>
            <w:r w:rsidRPr="006D4FEE">
              <w:rPr>
                <w:rFonts w:ascii="Times New Roman" w:hAnsi="Times New Roman" w:cs="Times New Roman"/>
                <w:b/>
              </w:rPr>
              <w:t>Споруди</w:t>
            </w:r>
          </w:p>
        </w:tc>
        <w:tc>
          <w:tcPr>
            <w:tcW w:w="1105" w:type="dxa"/>
            <w:tcBorders>
              <w:bottom w:val="single" w:sz="4" w:space="0" w:color="auto"/>
            </w:tcBorders>
            <w:vAlign w:val="center"/>
          </w:tcPr>
          <w:p w:rsidR="00895A49" w:rsidRPr="006D4FEE" w:rsidRDefault="00895A49" w:rsidP="00895A49">
            <w:pPr>
              <w:widowControl w:val="0"/>
              <w:spacing w:after="0" w:line="240" w:lineRule="auto"/>
              <w:jc w:val="center"/>
              <w:rPr>
                <w:rFonts w:ascii="Times New Roman" w:hAnsi="Times New Roman" w:cs="Times New Roman"/>
                <w:b/>
              </w:rPr>
            </w:pPr>
            <w:r w:rsidRPr="006D4FEE">
              <w:rPr>
                <w:rFonts w:ascii="Times New Roman" w:hAnsi="Times New Roman" w:cs="Times New Roman"/>
                <w:b/>
              </w:rPr>
              <w:t>Машини</w:t>
            </w:r>
            <w:r w:rsidR="006D4FEE">
              <w:rPr>
                <w:rFonts w:ascii="Times New Roman" w:hAnsi="Times New Roman" w:cs="Times New Roman"/>
                <w:b/>
              </w:rPr>
              <w:t xml:space="preserve"> </w:t>
            </w:r>
            <w:r w:rsidRPr="006D4FEE">
              <w:rPr>
                <w:rFonts w:ascii="Times New Roman" w:hAnsi="Times New Roman" w:cs="Times New Roman"/>
                <w:b/>
              </w:rPr>
              <w:t>та обладнання</w:t>
            </w:r>
          </w:p>
        </w:tc>
        <w:tc>
          <w:tcPr>
            <w:tcW w:w="1655" w:type="dxa"/>
            <w:tcBorders>
              <w:bottom w:val="single" w:sz="4" w:space="0" w:color="auto"/>
            </w:tcBorders>
            <w:vAlign w:val="center"/>
          </w:tcPr>
          <w:p w:rsidR="00895A49" w:rsidRPr="006D4FEE" w:rsidRDefault="00895A49" w:rsidP="00895A49">
            <w:pPr>
              <w:widowControl w:val="0"/>
              <w:spacing w:after="0" w:line="240" w:lineRule="auto"/>
              <w:jc w:val="center"/>
              <w:rPr>
                <w:rFonts w:ascii="Times New Roman" w:hAnsi="Times New Roman" w:cs="Times New Roman"/>
                <w:b/>
              </w:rPr>
            </w:pPr>
            <w:r w:rsidRPr="006D4FEE">
              <w:rPr>
                <w:rFonts w:ascii="Times New Roman" w:hAnsi="Times New Roman" w:cs="Times New Roman"/>
                <w:b/>
              </w:rPr>
              <w:t>Транспортні</w:t>
            </w:r>
            <w:r w:rsidR="006D4FEE">
              <w:rPr>
                <w:rFonts w:ascii="Times New Roman" w:hAnsi="Times New Roman" w:cs="Times New Roman"/>
                <w:b/>
              </w:rPr>
              <w:t xml:space="preserve"> </w:t>
            </w:r>
            <w:r w:rsidRPr="006D4FEE">
              <w:rPr>
                <w:rFonts w:ascii="Times New Roman" w:hAnsi="Times New Roman" w:cs="Times New Roman"/>
                <w:b/>
              </w:rPr>
              <w:t>засоби</w:t>
            </w:r>
          </w:p>
        </w:tc>
        <w:tc>
          <w:tcPr>
            <w:tcW w:w="2097" w:type="dxa"/>
            <w:gridSpan w:val="2"/>
            <w:tcBorders>
              <w:bottom w:val="single" w:sz="4" w:space="0" w:color="auto"/>
            </w:tcBorders>
            <w:vAlign w:val="center"/>
          </w:tcPr>
          <w:p w:rsidR="00895A49" w:rsidRPr="006D4FEE" w:rsidRDefault="00895A49" w:rsidP="00895A49">
            <w:pPr>
              <w:widowControl w:val="0"/>
              <w:spacing w:after="0" w:line="240" w:lineRule="auto"/>
              <w:jc w:val="center"/>
              <w:rPr>
                <w:rFonts w:ascii="Times New Roman" w:hAnsi="Times New Roman" w:cs="Times New Roman"/>
                <w:b/>
              </w:rPr>
            </w:pPr>
            <w:r w:rsidRPr="006D4FEE">
              <w:rPr>
                <w:rFonts w:ascii="Times New Roman" w:hAnsi="Times New Roman" w:cs="Times New Roman"/>
                <w:b/>
              </w:rPr>
              <w:t>Інструменти,</w:t>
            </w:r>
            <w:r w:rsidR="006D4FEE">
              <w:rPr>
                <w:rFonts w:ascii="Times New Roman" w:hAnsi="Times New Roman" w:cs="Times New Roman"/>
                <w:b/>
              </w:rPr>
              <w:t xml:space="preserve"> </w:t>
            </w:r>
            <w:r w:rsidRPr="006D4FEE">
              <w:rPr>
                <w:rFonts w:ascii="Times New Roman" w:hAnsi="Times New Roman" w:cs="Times New Roman"/>
                <w:b/>
              </w:rPr>
              <w:t>прилади</w:t>
            </w:r>
            <w:r w:rsidR="006D4FEE">
              <w:rPr>
                <w:rFonts w:ascii="Times New Roman" w:hAnsi="Times New Roman" w:cs="Times New Roman"/>
                <w:b/>
              </w:rPr>
              <w:t xml:space="preserve"> </w:t>
            </w:r>
            <w:r w:rsidRPr="006D4FEE">
              <w:rPr>
                <w:rFonts w:ascii="Times New Roman" w:hAnsi="Times New Roman" w:cs="Times New Roman"/>
                <w:b/>
              </w:rPr>
              <w:t>інвентар(меблі)</w:t>
            </w:r>
          </w:p>
        </w:tc>
        <w:tc>
          <w:tcPr>
            <w:tcW w:w="1323" w:type="dxa"/>
            <w:gridSpan w:val="2"/>
            <w:tcBorders>
              <w:bottom w:val="single" w:sz="4" w:space="0" w:color="auto"/>
            </w:tcBorders>
            <w:vAlign w:val="center"/>
          </w:tcPr>
          <w:p w:rsidR="00895A49" w:rsidRPr="006D4FEE" w:rsidRDefault="00895A49" w:rsidP="00895A49">
            <w:pPr>
              <w:widowControl w:val="0"/>
              <w:spacing w:after="0" w:line="240" w:lineRule="auto"/>
              <w:jc w:val="center"/>
              <w:rPr>
                <w:rFonts w:ascii="Times New Roman" w:hAnsi="Times New Roman" w:cs="Times New Roman"/>
                <w:b/>
              </w:rPr>
            </w:pPr>
            <w:r w:rsidRPr="006D4FEE">
              <w:rPr>
                <w:rFonts w:ascii="Times New Roman" w:hAnsi="Times New Roman" w:cs="Times New Roman"/>
                <w:b/>
              </w:rPr>
              <w:t>Інші основні</w:t>
            </w:r>
            <w:r w:rsidR="006D4FEE">
              <w:rPr>
                <w:rFonts w:ascii="Times New Roman" w:hAnsi="Times New Roman" w:cs="Times New Roman"/>
                <w:b/>
              </w:rPr>
              <w:t xml:space="preserve"> </w:t>
            </w:r>
            <w:r w:rsidRPr="006D4FEE">
              <w:rPr>
                <w:rFonts w:ascii="Times New Roman" w:hAnsi="Times New Roman" w:cs="Times New Roman"/>
                <w:b/>
              </w:rPr>
              <w:t>засоби</w:t>
            </w:r>
          </w:p>
        </w:tc>
        <w:tc>
          <w:tcPr>
            <w:tcW w:w="768" w:type="dxa"/>
            <w:tcBorders>
              <w:bottom w:val="single" w:sz="4" w:space="0" w:color="auto"/>
            </w:tcBorders>
            <w:vAlign w:val="center"/>
          </w:tcPr>
          <w:p w:rsidR="00895A49" w:rsidRPr="006D4FEE" w:rsidRDefault="00895A49" w:rsidP="00895A49">
            <w:pPr>
              <w:widowControl w:val="0"/>
              <w:spacing w:after="0" w:line="240" w:lineRule="auto"/>
              <w:jc w:val="center"/>
              <w:rPr>
                <w:rFonts w:ascii="Times New Roman" w:hAnsi="Times New Roman" w:cs="Times New Roman"/>
                <w:b/>
              </w:rPr>
            </w:pPr>
            <w:r w:rsidRPr="006D4FEE">
              <w:rPr>
                <w:rFonts w:ascii="Times New Roman" w:hAnsi="Times New Roman" w:cs="Times New Roman"/>
                <w:b/>
              </w:rPr>
              <w:t>Разом</w:t>
            </w: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t>Первісна або переоцінена вартість</w:t>
            </w:r>
          </w:p>
        </w:tc>
        <w:tc>
          <w:tcPr>
            <w:tcW w:w="872" w:type="dxa"/>
            <w:tcBorders>
              <w:top w:val="single" w:sz="4" w:space="0" w:color="auto"/>
              <w:bottom w:val="single" w:sz="4" w:space="0" w:color="auto"/>
            </w:tcBorders>
            <w:vAlign w:val="center"/>
          </w:tcPr>
          <w:p w:rsidR="00895A49" w:rsidRPr="006D4FEE" w:rsidRDefault="00895A49" w:rsidP="00895A49">
            <w:pPr>
              <w:widowControl w:val="0"/>
              <w:spacing w:after="0" w:line="240" w:lineRule="auto"/>
              <w:jc w:val="center"/>
              <w:rPr>
                <w:rFonts w:ascii="Times New Roman" w:hAnsi="Times New Roman" w:cs="Times New Roman"/>
              </w:rPr>
            </w:pPr>
          </w:p>
        </w:tc>
        <w:tc>
          <w:tcPr>
            <w:tcW w:w="1105" w:type="dxa"/>
            <w:tcBorders>
              <w:top w:val="single" w:sz="4" w:space="0" w:color="auto"/>
              <w:bottom w:val="single" w:sz="4" w:space="0" w:color="auto"/>
            </w:tcBorders>
            <w:vAlign w:val="center"/>
          </w:tcPr>
          <w:p w:rsidR="00895A49" w:rsidRPr="006D4FEE" w:rsidRDefault="00895A49" w:rsidP="00895A49">
            <w:pPr>
              <w:widowControl w:val="0"/>
              <w:spacing w:after="0" w:line="240" w:lineRule="auto"/>
              <w:jc w:val="center"/>
              <w:rPr>
                <w:rFonts w:ascii="Times New Roman" w:hAnsi="Times New Roman" w:cs="Times New Roman"/>
              </w:rPr>
            </w:pPr>
          </w:p>
        </w:tc>
        <w:tc>
          <w:tcPr>
            <w:tcW w:w="1655" w:type="dxa"/>
            <w:tcBorders>
              <w:top w:val="single" w:sz="4" w:space="0" w:color="auto"/>
              <w:bottom w:val="single" w:sz="4" w:space="0" w:color="auto"/>
            </w:tcBorders>
            <w:vAlign w:val="center"/>
          </w:tcPr>
          <w:p w:rsidR="00895A49" w:rsidRPr="006D4FEE" w:rsidRDefault="00895A49" w:rsidP="00895A49">
            <w:pPr>
              <w:widowControl w:val="0"/>
              <w:spacing w:after="0" w:line="240" w:lineRule="auto"/>
              <w:jc w:val="center"/>
              <w:rPr>
                <w:rFonts w:ascii="Times New Roman" w:hAnsi="Times New Roman" w:cs="Times New Roman"/>
              </w:rPr>
            </w:pPr>
          </w:p>
        </w:tc>
        <w:tc>
          <w:tcPr>
            <w:tcW w:w="2022" w:type="dxa"/>
            <w:tcBorders>
              <w:top w:val="single" w:sz="4" w:space="0" w:color="auto"/>
              <w:bottom w:val="single" w:sz="4" w:space="0" w:color="auto"/>
            </w:tcBorders>
            <w:vAlign w:val="center"/>
          </w:tcPr>
          <w:p w:rsidR="00895A49" w:rsidRPr="006D4FEE" w:rsidRDefault="00895A49" w:rsidP="00895A49">
            <w:pPr>
              <w:widowControl w:val="0"/>
              <w:spacing w:after="0" w:line="240" w:lineRule="auto"/>
              <w:jc w:val="center"/>
              <w:rPr>
                <w:rFonts w:ascii="Times New Roman" w:hAnsi="Times New Roman" w:cs="Times New Roman"/>
              </w:rPr>
            </w:pPr>
          </w:p>
        </w:tc>
        <w:tc>
          <w:tcPr>
            <w:tcW w:w="1329" w:type="dxa"/>
            <w:gridSpan w:val="2"/>
            <w:tcBorders>
              <w:top w:val="single" w:sz="4" w:space="0" w:color="auto"/>
              <w:bottom w:val="single" w:sz="4" w:space="0" w:color="auto"/>
            </w:tcBorders>
            <w:vAlign w:val="center"/>
          </w:tcPr>
          <w:p w:rsidR="00895A49" w:rsidRPr="006D4FEE" w:rsidRDefault="00895A49" w:rsidP="00895A49">
            <w:pPr>
              <w:widowControl w:val="0"/>
              <w:spacing w:after="0" w:line="240" w:lineRule="auto"/>
              <w:jc w:val="center"/>
              <w:rPr>
                <w:rFonts w:ascii="Times New Roman" w:hAnsi="Times New Roman" w:cs="Times New Roman"/>
              </w:rPr>
            </w:pPr>
          </w:p>
        </w:tc>
        <w:tc>
          <w:tcPr>
            <w:tcW w:w="837" w:type="dxa"/>
            <w:gridSpan w:val="2"/>
            <w:tcBorders>
              <w:top w:val="single" w:sz="4" w:space="0" w:color="auto"/>
              <w:bottom w:val="single" w:sz="4" w:space="0" w:color="auto"/>
            </w:tcBorders>
            <w:vAlign w:val="center"/>
          </w:tcPr>
          <w:p w:rsidR="00895A49" w:rsidRPr="006D4FEE" w:rsidRDefault="00895A49" w:rsidP="00895A49">
            <w:pPr>
              <w:widowControl w:val="0"/>
              <w:spacing w:after="0" w:line="240" w:lineRule="auto"/>
              <w:jc w:val="center"/>
              <w:rPr>
                <w:rFonts w:ascii="Times New Roman" w:hAnsi="Times New Roman" w:cs="Times New Roman"/>
              </w:rPr>
            </w:pP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t>на 31.12.2020</w:t>
            </w:r>
          </w:p>
        </w:tc>
        <w:tc>
          <w:tcPr>
            <w:tcW w:w="87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11 980</w:t>
            </w:r>
          </w:p>
        </w:tc>
        <w:tc>
          <w:tcPr>
            <w:tcW w:w="110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375</w:t>
            </w:r>
          </w:p>
        </w:tc>
        <w:tc>
          <w:tcPr>
            <w:tcW w:w="165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3168</w:t>
            </w:r>
          </w:p>
        </w:tc>
        <w:tc>
          <w:tcPr>
            <w:tcW w:w="202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673</w:t>
            </w:r>
          </w:p>
        </w:tc>
        <w:tc>
          <w:tcPr>
            <w:tcW w:w="1329"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8</w:t>
            </w:r>
          </w:p>
        </w:tc>
        <w:tc>
          <w:tcPr>
            <w:tcW w:w="837"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16204</w:t>
            </w:r>
          </w:p>
        </w:tc>
      </w:tr>
      <w:tr w:rsidR="006D4FEE" w:rsidRPr="006D4FEE" w:rsidTr="006D4FEE">
        <w:trPr>
          <w:trHeight w:val="284"/>
        </w:trPr>
        <w:tc>
          <w:tcPr>
            <w:tcW w:w="1292" w:type="dxa"/>
            <w:tcBorders>
              <w:top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rPr>
            </w:pPr>
            <w:r w:rsidRPr="006D4FEE">
              <w:rPr>
                <w:rFonts w:ascii="Times New Roman" w:hAnsi="Times New Roman" w:cs="Times New Roman"/>
              </w:rPr>
              <w:t>Придбання (виготовлення)</w:t>
            </w:r>
          </w:p>
        </w:tc>
        <w:tc>
          <w:tcPr>
            <w:tcW w:w="87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10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52</w:t>
            </w:r>
          </w:p>
        </w:tc>
        <w:tc>
          <w:tcPr>
            <w:tcW w:w="165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202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329"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837"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52</w:t>
            </w:r>
          </w:p>
        </w:tc>
      </w:tr>
      <w:tr w:rsidR="006D4FEE" w:rsidRPr="006D4FEE" w:rsidTr="006D4FEE">
        <w:trPr>
          <w:trHeight w:val="284"/>
        </w:trPr>
        <w:tc>
          <w:tcPr>
            <w:tcW w:w="1292" w:type="dxa"/>
            <w:tcBorders>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rPr>
            </w:pPr>
            <w:r w:rsidRPr="006D4FEE">
              <w:rPr>
                <w:rFonts w:ascii="Times New Roman" w:hAnsi="Times New Roman" w:cs="Times New Roman"/>
              </w:rPr>
              <w:t>Вибуття</w:t>
            </w:r>
          </w:p>
        </w:tc>
        <w:tc>
          <w:tcPr>
            <w:tcW w:w="872"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105"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655"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2022"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329" w:type="dxa"/>
            <w:gridSpan w:val="2"/>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837" w:type="dxa"/>
            <w:gridSpan w:val="2"/>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t>на 31.03.2021</w:t>
            </w:r>
          </w:p>
        </w:tc>
        <w:tc>
          <w:tcPr>
            <w:tcW w:w="87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11 980</w:t>
            </w:r>
          </w:p>
        </w:tc>
        <w:tc>
          <w:tcPr>
            <w:tcW w:w="110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427</w:t>
            </w:r>
          </w:p>
        </w:tc>
        <w:tc>
          <w:tcPr>
            <w:tcW w:w="165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3 168</w:t>
            </w:r>
          </w:p>
        </w:tc>
        <w:tc>
          <w:tcPr>
            <w:tcW w:w="202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673</w:t>
            </w:r>
          </w:p>
        </w:tc>
        <w:tc>
          <w:tcPr>
            <w:tcW w:w="1329"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8</w:t>
            </w:r>
          </w:p>
        </w:tc>
        <w:tc>
          <w:tcPr>
            <w:tcW w:w="837"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16 256</w:t>
            </w: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t>Первісна або переоцінена вартість</w:t>
            </w:r>
          </w:p>
        </w:tc>
        <w:tc>
          <w:tcPr>
            <w:tcW w:w="87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110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165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202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1329"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837"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t>на 31.12.2021</w:t>
            </w:r>
          </w:p>
        </w:tc>
        <w:tc>
          <w:tcPr>
            <w:tcW w:w="87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11 980</w:t>
            </w:r>
          </w:p>
        </w:tc>
        <w:tc>
          <w:tcPr>
            <w:tcW w:w="110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427</w:t>
            </w:r>
          </w:p>
        </w:tc>
        <w:tc>
          <w:tcPr>
            <w:tcW w:w="165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4 799</w:t>
            </w:r>
          </w:p>
        </w:tc>
        <w:tc>
          <w:tcPr>
            <w:tcW w:w="202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680</w:t>
            </w:r>
          </w:p>
        </w:tc>
        <w:tc>
          <w:tcPr>
            <w:tcW w:w="1329"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8</w:t>
            </w:r>
          </w:p>
        </w:tc>
        <w:tc>
          <w:tcPr>
            <w:tcW w:w="837"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17 894</w:t>
            </w:r>
          </w:p>
        </w:tc>
      </w:tr>
      <w:tr w:rsidR="006D4FEE" w:rsidRPr="006D4FEE" w:rsidTr="006D4FEE">
        <w:trPr>
          <w:trHeight w:val="284"/>
        </w:trPr>
        <w:tc>
          <w:tcPr>
            <w:tcW w:w="1292" w:type="dxa"/>
            <w:tcBorders>
              <w:top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rPr>
            </w:pPr>
            <w:r w:rsidRPr="006D4FEE">
              <w:rPr>
                <w:rFonts w:ascii="Times New Roman" w:hAnsi="Times New Roman" w:cs="Times New Roman"/>
              </w:rPr>
              <w:t>Придбання (виготовлення)</w:t>
            </w:r>
          </w:p>
        </w:tc>
        <w:tc>
          <w:tcPr>
            <w:tcW w:w="87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10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65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202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6</w:t>
            </w:r>
          </w:p>
        </w:tc>
        <w:tc>
          <w:tcPr>
            <w:tcW w:w="1329"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837"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6</w:t>
            </w:r>
          </w:p>
        </w:tc>
      </w:tr>
      <w:tr w:rsidR="006D4FEE" w:rsidRPr="006D4FEE" w:rsidTr="006D4FEE">
        <w:trPr>
          <w:trHeight w:val="284"/>
        </w:trPr>
        <w:tc>
          <w:tcPr>
            <w:tcW w:w="1292" w:type="dxa"/>
            <w:tcBorders>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rPr>
            </w:pPr>
            <w:r w:rsidRPr="006D4FEE">
              <w:rPr>
                <w:rFonts w:ascii="Times New Roman" w:hAnsi="Times New Roman" w:cs="Times New Roman"/>
              </w:rPr>
              <w:t>Вибуття</w:t>
            </w:r>
          </w:p>
        </w:tc>
        <w:tc>
          <w:tcPr>
            <w:tcW w:w="872"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105"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655"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2022"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329" w:type="dxa"/>
            <w:gridSpan w:val="2"/>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837" w:type="dxa"/>
            <w:gridSpan w:val="2"/>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t>на 31.03.2022</w:t>
            </w:r>
          </w:p>
        </w:tc>
        <w:tc>
          <w:tcPr>
            <w:tcW w:w="87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11980</w:t>
            </w:r>
          </w:p>
        </w:tc>
        <w:tc>
          <w:tcPr>
            <w:tcW w:w="110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427</w:t>
            </w:r>
          </w:p>
        </w:tc>
        <w:tc>
          <w:tcPr>
            <w:tcW w:w="165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4 799</w:t>
            </w:r>
          </w:p>
        </w:tc>
        <w:tc>
          <w:tcPr>
            <w:tcW w:w="202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686</w:t>
            </w:r>
          </w:p>
        </w:tc>
        <w:tc>
          <w:tcPr>
            <w:tcW w:w="1329"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8</w:t>
            </w:r>
          </w:p>
        </w:tc>
        <w:tc>
          <w:tcPr>
            <w:tcW w:w="837"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17 900</w:t>
            </w:r>
          </w:p>
        </w:tc>
      </w:tr>
      <w:tr w:rsidR="006D4FEE" w:rsidRPr="006D4FEE" w:rsidTr="006D4FEE">
        <w:trPr>
          <w:trHeight w:val="284"/>
        </w:trPr>
        <w:tc>
          <w:tcPr>
            <w:tcW w:w="1292" w:type="dxa"/>
            <w:tcBorders>
              <w:top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p>
        </w:tc>
        <w:tc>
          <w:tcPr>
            <w:tcW w:w="87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110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165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202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1329"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837"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r>
      <w:tr w:rsidR="006D4FEE" w:rsidRPr="006D4FEE" w:rsidTr="006D4FEE">
        <w:trPr>
          <w:trHeight w:val="284"/>
        </w:trPr>
        <w:tc>
          <w:tcPr>
            <w:tcW w:w="1292" w:type="dxa"/>
            <w:tcBorders>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bCs/>
              </w:rPr>
              <w:t xml:space="preserve">Накопичена амортизація </w:t>
            </w:r>
            <w:r w:rsidRPr="006D4FEE">
              <w:rPr>
                <w:rFonts w:ascii="Times New Roman" w:hAnsi="Times New Roman" w:cs="Times New Roman"/>
                <w:b/>
                <w:bCs/>
              </w:rPr>
              <w:lastRenderedPageBreak/>
              <w:t>та знецінення</w:t>
            </w:r>
          </w:p>
        </w:tc>
        <w:tc>
          <w:tcPr>
            <w:tcW w:w="872"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1105"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1655"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2022"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1329" w:type="dxa"/>
            <w:gridSpan w:val="2"/>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837" w:type="dxa"/>
            <w:gridSpan w:val="2"/>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lastRenderedPageBreak/>
              <w:t>на 31.12.2020</w:t>
            </w:r>
          </w:p>
        </w:tc>
        <w:tc>
          <w:tcPr>
            <w:tcW w:w="87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(5 888)</w:t>
            </w:r>
          </w:p>
        </w:tc>
        <w:tc>
          <w:tcPr>
            <w:tcW w:w="110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(297)</w:t>
            </w:r>
          </w:p>
        </w:tc>
        <w:tc>
          <w:tcPr>
            <w:tcW w:w="165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(2 190)</w:t>
            </w:r>
          </w:p>
        </w:tc>
        <w:tc>
          <w:tcPr>
            <w:tcW w:w="202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(673)</w:t>
            </w:r>
          </w:p>
        </w:tc>
        <w:tc>
          <w:tcPr>
            <w:tcW w:w="1329"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(8)</w:t>
            </w:r>
          </w:p>
        </w:tc>
        <w:tc>
          <w:tcPr>
            <w:tcW w:w="837"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(9 056)</w:t>
            </w:r>
          </w:p>
        </w:tc>
      </w:tr>
      <w:tr w:rsidR="006D4FEE" w:rsidRPr="006D4FEE" w:rsidTr="006D4FEE">
        <w:trPr>
          <w:trHeight w:val="284"/>
        </w:trPr>
        <w:tc>
          <w:tcPr>
            <w:tcW w:w="1292" w:type="dxa"/>
            <w:tcBorders>
              <w:top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rPr>
            </w:pPr>
            <w:r w:rsidRPr="006D4FEE">
              <w:rPr>
                <w:rFonts w:ascii="Times New Roman" w:hAnsi="Times New Roman" w:cs="Times New Roman"/>
              </w:rPr>
              <w:t>Амортизація за період</w:t>
            </w:r>
          </w:p>
        </w:tc>
        <w:tc>
          <w:tcPr>
            <w:tcW w:w="87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(169)</w:t>
            </w:r>
          </w:p>
        </w:tc>
        <w:tc>
          <w:tcPr>
            <w:tcW w:w="110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(11)</w:t>
            </w:r>
          </w:p>
        </w:tc>
        <w:tc>
          <w:tcPr>
            <w:tcW w:w="165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(117)</w:t>
            </w:r>
          </w:p>
        </w:tc>
        <w:tc>
          <w:tcPr>
            <w:tcW w:w="202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329"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837"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(297)</w:t>
            </w:r>
          </w:p>
        </w:tc>
      </w:tr>
      <w:tr w:rsidR="006D4FEE" w:rsidRPr="006D4FEE" w:rsidTr="006D4FEE">
        <w:trPr>
          <w:trHeight w:val="284"/>
        </w:trPr>
        <w:tc>
          <w:tcPr>
            <w:tcW w:w="1292" w:type="dxa"/>
            <w:tcBorders>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rPr>
            </w:pPr>
            <w:r w:rsidRPr="006D4FEE">
              <w:rPr>
                <w:rFonts w:ascii="Times New Roman" w:hAnsi="Times New Roman" w:cs="Times New Roman"/>
              </w:rPr>
              <w:t>Вибуття</w:t>
            </w:r>
          </w:p>
        </w:tc>
        <w:tc>
          <w:tcPr>
            <w:tcW w:w="872"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105"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655"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2022"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329" w:type="dxa"/>
            <w:gridSpan w:val="2"/>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837" w:type="dxa"/>
            <w:gridSpan w:val="2"/>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t>на 31.03.2021</w:t>
            </w:r>
          </w:p>
        </w:tc>
        <w:tc>
          <w:tcPr>
            <w:tcW w:w="87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(6 057)</w:t>
            </w:r>
          </w:p>
        </w:tc>
        <w:tc>
          <w:tcPr>
            <w:tcW w:w="110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(308)</w:t>
            </w:r>
          </w:p>
        </w:tc>
        <w:tc>
          <w:tcPr>
            <w:tcW w:w="165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(2 307)</w:t>
            </w:r>
          </w:p>
        </w:tc>
        <w:tc>
          <w:tcPr>
            <w:tcW w:w="202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(673)</w:t>
            </w:r>
          </w:p>
        </w:tc>
        <w:tc>
          <w:tcPr>
            <w:tcW w:w="1329"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(8)</w:t>
            </w:r>
          </w:p>
        </w:tc>
        <w:tc>
          <w:tcPr>
            <w:tcW w:w="837"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(9 353)</w:t>
            </w: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bCs/>
              </w:rPr>
              <w:t>Накопичена амортизація та знецінення</w:t>
            </w:r>
          </w:p>
        </w:tc>
        <w:tc>
          <w:tcPr>
            <w:tcW w:w="87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110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165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202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1329"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c>
          <w:tcPr>
            <w:tcW w:w="837"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bCs/>
              </w:rPr>
            </w:pPr>
            <w:r w:rsidRPr="006D4FEE">
              <w:rPr>
                <w:rFonts w:ascii="Times New Roman" w:hAnsi="Times New Roman" w:cs="Times New Roman"/>
                <w:b/>
              </w:rPr>
              <w:t>на 31.12.2021</w:t>
            </w:r>
          </w:p>
        </w:tc>
        <w:tc>
          <w:tcPr>
            <w:tcW w:w="87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 xml:space="preserve">(6 564)        </w:t>
            </w:r>
          </w:p>
        </w:tc>
        <w:tc>
          <w:tcPr>
            <w:tcW w:w="110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(337)</w:t>
            </w:r>
          </w:p>
        </w:tc>
        <w:tc>
          <w:tcPr>
            <w:tcW w:w="165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(3 490)</w:t>
            </w:r>
          </w:p>
        </w:tc>
        <w:tc>
          <w:tcPr>
            <w:tcW w:w="202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(680)</w:t>
            </w:r>
          </w:p>
        </w:tc>
        <w:tc>
          <w:tcPr>
            <w:tcW w:w="1329"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(8)</w:t>
            </w:r>
          </w:p>
        </w:tc>
        <w:tc>
          <w:tcPr>
            <w:tcW w:w="837"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(11 079)</w:t>
            </w:r>
          </w:p>
        </w:tc>
      </w:tr>
      <w:tr w:rsidR="006D4FEE" w:rsidRPr="006D4FEE" w:rsidTr="006D4FEE">
        <w:trPr>
          <w:trHeight w:val="284"/>
        </w:trPr>
        <w:tc>
          <w:tcPr>
            <w:tcW w:w="1292" w:type="dxa"/>
            <w:tcBorders>
              <w:top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rPr>
            </w:pPr>
            <w:r w:rsidRPr="006D4FEE">
              <w:rPr>
                <w:rFonts w:ascii="Times New Roman" w:hAnsi="Times New Roman" w:cs="Times New Roman"/>
              </w:rPr>
              <w:t>Амортизація за період</w:t>
            </w:r>
          </w:p>
        </w:tc>
        <w:tc>
          <w:tcPr>
            <w:tcW w:w="87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(168)</w:t>
            </w:r>
          </w:p>
        </w:tc>
        <w:tc>
          <w:tcPr>
            <w:tcW w:w="110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(10)</w:t>
            </w:r>
          </w:p>
        </w:tc>
        <w:tc>
          <w:tcPr>
            <w:tcW w:w="165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(170)</w:t>
            </w:r>
          </w:p>
        </w:tc>
        <w:tc>
          <w:tcPr>
            <w:tcW w:w="202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(6)</w:t>
            </w:r>
          </w:p>
        </w:tc>
        <w:tc>
          <w:tcPr>
            <w:tcW w:w="1329"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837"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(354)</w:t>
            </w:r>
          </w:p>
        </w:tc>
      </w:tr>
      <w:tr w:rsidR="006D4FEE" w:rsidRPr="006D4FEE" w:rsidTr="006D4FEE">
        <w:trPr>
          <w:trHeight w:val="284"/>
        </w:trPr>
        <w:tc>
          <w:tcPr>
            <w:tcW w:w="1292" w:type="dxa"/>
            <w:tcBorders>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rPr>
            </w:pPr>
            <w:r w:rsidRPr="006D4FEE">
              <w:rPr>
                <w:rFonts w:ascii="Times New Roman" w:hAnsi="Times New Roman" w:cs="Times New Roman"/>
              </w:rPr>
              <w:t>Вибуття</w:t>
            </w:r>
          </w:p>
        </w:tc>
        <w:tc>
          <w:tcPr>
            <w:tcW w:w="872"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105"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655"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2022"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c>
          <w:tcPr>
            <w:tcW w:w="1329" w:type="dxa"/>
            <w:gridSpan w:val="2"/>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837" w:type="dxa"/>
            <w:gridSpan w:val="2"/>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r w:rsidRPr="006D4FEE">
              <w:rPr>
                <w:rFonts w:ascii="Times New Roman" w:hAnsi="Times New Roman" w:cs="Times New Roman"/>
              </w:rPr>
              <w:t>-</w:t>
            </w: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t>на 31.03.2022</w:t>
            </w:r>
          </w:p>
        </w:tc>
        <w:tc>
          <w:tcPr>
            <w:tcW w:w="87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(6 732)</w:t>
            </w:r>
          </w:p>
        </w:tc>
        <w:tc>
          <w:tcPr>
            <w:tcW w:w="110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(347)</w:t>
            </w:r>
          </w:p>
        </w:tc>
        <w:tc>
          <w:tcPr>
            <w:tcW w:w="165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(3 660)</w:t>
            </w:r>
          </w:p>
        </w:tc>
        <w:tc>
          <w:tcPr>
            <w:tcW w:w="202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(686)</w:t>
            </w:r>
          </w:p>
        </w:tc>
        <w:tc>
          <w:tcPr>
            <w:tcW w:w="1329"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(8)</w:t>
            </w:r>
          </w:p>
        </w:tc>
        <w:tc>
          <w:tcPr>
            <w:tcW w:w="837"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(11 433)</w:t>
            </w:r>
          </w:p>
        </w:tc>
      </w:tr>
      <w:tr w:rsidR="006D4FEE" w:rsidRPr="006D4FEE" w:rsidTr="006D4FEE">
        <w:trPr>
          <w:trHeight w:val="257"/>
        </w:trPr>
        <w:tc>
          <w:tcPr>
            <w:tcW w:w="1292" w:type="dxa"/>
            <w:tcBorders>
              <w:top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rPr>
            </w:pPr>
          </w:p>
        </w:tc>
        <w:tc>
          <w:tcPr>
            <w:tcW w:w="87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110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165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202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1329"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837"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r>
      <w:tr w:rsidR="006D4FEE" w:rsidRPr="006D4FEE" w:rsidTr="006D4FEE">
        <w:trPr>
          <w:trHeight w:val="284"/>
        </w:trPr>
        <w:tc>
          <w:tcPr>
            <w:tcW w:w="1292" w:type="dxa"/>
            <w:tcBorders>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t>Чиста балансова вартість станом на</w:t>
            </w:r>
          </w:p>
        </w:tc>
        <w:tc>
          <w:tcPr>
            <w:tcW w:w="872"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1105"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1655"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2022" w:type="dxa"/>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1329" w:type="dxa"/>
            <w:gridSpan w:val="2"/>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c>
          <w:tcPr>
            <w:tcW w:w="837" w:type="dxa"/>
            <w:gridSpan w:val="2"/>
            <w:tcBorders>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rPr>
            </w:pP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t>31.12.2020</w:t>
            </w:r>
          </w:p>
        </w:tc>
        <w:tc>
          <w:tcPr>
            <w:tcW w:w="87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6 092</w:t>
            </w:r>
          </w:p>
        </w:tc>
        <w:tc>
          <w:tcPr>
            <w:tcW w:w="110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78</w:t>
            </w:r>
          </w:p>
        </w:tc>
        <w:tc>
          <w:tcPr>
            <w:tcW w:w="165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978</w:t>
            </w:r>
          </w:p>
        </w:tc>
        <w:tc>
          <w:tcPr>
            <w:tcW w:w="202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0</w:t>
            </w:r>
          </w:p>
        </w:tc>
        <w:tc>
          <w:tcPr>
            <w:tcW w:w="1329"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0</w:t>
            </w:r>
          </w:p>
        </w:tc>
        <w:tc>
          <w:tcPr>
            <w:tcW w:w="837"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7148</w:t>
            </w: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t>31.03.2021</w:t>
            </w:r>
          </w:p>
        </w:tc>
        <w:tc>
          <w:tcPr>
            <w:tcW w:w="87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5 923</w:t>
            </w:r>
          </w:p>
        </w:tc>
        <w:tc>
          <w:tcPr>
            <w:tcW w:w="110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119</w:t>
            </w:r>
          </w:p>
        </w:tc>
        <w:tc>
          <w:tcPr>
            <w:tcW w:w="165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861</w:t>
            </w:r>
          </w:p>
        </w:tc>
        <w:tc>
          <w:tcPr>
            <w:tcW w:w="202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0</w:t>
            </w:r>
          </w:p>
        </w:tc>
        <w:tc>
          <w:tcPr>
            <w:tcW w:w="1329"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0</w:t>
            </w:r>
          </w:p>
        </w:tc>
        <w:tc>
          <w:tcPr>
            <w:tcW w:w="837"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6 903</w:t>
            </w:r>
          </w:p>
        </w:tc>
      </w:tr>
      <w:tr w:rsidR="006D4FEE" w:rsidRPr="006D4FEE" w:rsidTr="006D4FEE">
        <w:trPr>
          <w:trHeight w:val="284"/>
        </w:trPr>
        <w:tc>
          <w:tcPr>
            <w:tcW w:w="1292" w:type="dxa"/>
            <w:tcBorders>
              <w:top w:val="single" w:sz="4" w:space="0" w:color="auto"/>
              <w:bottom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t>31.12.2021</w:t>
            </w:r>
          </w:p>
        </w:tc>
        <w:tc>
          <w:tcPr>
            <w:tcW w:w="87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5416</w:t>
            </w:r>
          </w:p>
        </w:tc>
        <w:tc>
          <w:tcPr>
            <w:tcW w:w="110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90</w:t>
            </w:r>
          </w:p>
        </w:tc>
        <w:tc>
          <w:tcPr>
            <w:tcW w:w="1655"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1 309</w:t>
            </w:r>
          </w:p>
        </w:tc>
        <w:tc>
          <w:tcPr>
            <w:tcW w:w="2022" w:type="dxa"/>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0</w:t>
            </w:r>
          </w:p>
        </w:tc>
        <w:tc>
          <w:tcPr>
            <w:tcW w:w="1329"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0</w:t>
            </w:r>
          </w:p>
        </w:tc>
        <w:tc>
          <w:tcPr>
            <w:tcW w:w="837" w:type="dxa"/>
            <w:gridSpan w:val="2"/>
            <w:tcBorders>
              <w:top w:val="single" w:sz="4" w:space="0" w:color="auto"/>
              <w:bottom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6 815</w:t>
            </w:r>
          </w:p>
        </w:tc>
      </w:tr>
      <w:tr w:rsidR="006D4FEE" w:rsidRPr="006D4FEE" w:rsidTr="006D4FEE">
        <w:trPr>
          <w:trHeight w:val="284"/>
        </w:trPr>
        <w:tc>
          <w:tcPr>
            <w:tcW w:w="1292" w:type="dxa"/>
            <w:tcBorders>
              <w:top w:val="single" w:sz="4" w:space="0" w:color="auto"/>
            </w:tcBorders>
            <w:vAlign w:val="center"/>
          </w:tcPr>
          <w:p w:rsidR="00895A49" w:rsidRPr="006D4FEE" w:rsidRDefault="00895A49" w:rsidP="00895A49">
            <w:pPr>
              <w:widowControl w:val="0"/>
              <w:spacing w:after="0" w:line="240" w:lineRule="auto"/>
              <w:rPr>
                <w:rFonts w:ascii="Times New Roman" w:hAnsi="Times New Roman" w:cs="Times New Roman"/>
                <w:b/>
              </w:rPr>
            </w:pPr>
            <w:r w:rsidRPr="006D4FEE">
              <w:rPr>
                <w:rFonts w:ascii="Times New Roman" w:hAnsi="Times New Roman" w:cs="Times New Roman"/>
                <w:b/>
              </w:rPr>
              <w:t>31.03.2022</w:t>
            </w:r>
          </w:p>
        </w:tc>
        <w:tc>
          <w:tcPr>
            <w:tcW w:w="87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5 248</w:t>
            </w:r>
          </w:p>
        </w:tc>
        <w:tc>
          <w:tcPr>
            <w:tcW w:w="110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80</w:t>
            </w:r>
          </w:p>
        </w:tc>
        <w:tc>
          <w:tcPr>
            <w:tcW w:w="1655"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1 139</w:t>
            </w:r>
          </w:p>
        </w:tc>
        <w:tc>
          <w:tcPr>
            <w:tcW w:w="2022" w:type="dxa"/>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0</w:t>
            </w:r>
          </w:p>
        </w:tc>
        <w:tc>
          <w:tcPr>
            <w:tcW w:w="1329"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0</w:t>
            </w:r>
          </w:p>
        </w:tc>
        <w:tc>
          <w:tcPr>
            <w:tcW w:w="837" w:type="dxa"/>
            <w:gridSpan w:val="2"/>
            <w:tcBorders>
              <w:top w:val="single" w:sz="4" w:space="0" w:color="auto"/>
            </w:tcBorders>
            <w:vAlign w:val="bottom"/>
          </w:tcPr>
          <w:p w:rsidR="00895A49" w:rsidRPr="006D4FEE" w:rsidRDefault="00895A49" w:rsidP="00895A49">
            <w:pPr>
              <w:widowControl w:val="0"/>
              <w:spacing w:after="0" w:line="240" w:lineRule="auto"/>
              <w:jc w:val="right"/>
              <w:rPr>
                <w:rFonts w:ascii="Times New Roman" w:hAnsi="Times New Roman" w:cs="Times New Roman"/>
                <w:b/>
              </w:rPr>
            </w:pPr>
            <w:r w:rsidRPr="006D4FEE">
              <w:rPr>
                <w:rFonts w:ascii="Times New Roman" w:hAnsi="Times New Roman" w:cs="Times New Roman"/>
                <w:b/>
              </w:rPr>
              <w:t>6 467</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Основні засоби з нульовою залишковою вартістю значаться в обліку до тих пір, поки існує можливість отримувати економічні вигоди від їх використання.</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Товариство не має інвестиційної нерухомості, відсутні контрактні зобов’язання на придбання основних засобів. Основні засоби не знаходяться в заставі або в</w:t>
      </w:r>
      <w:r w:rsidR="006D4FEE">
        <w:rPr>
          <w:rFonts w:ascii="Times New Roman" w:hAnsi="Times New Roman" w:cs="Times New Roman"/>
          <w:sz w:val="24"/>
          <w:szCs w:val="24"/>
        </w:rPr>
        <w:t xml:space="preserve"> </w:t>
      </w:r>
      <w:r w:rsidRPr="00895A49">
        <w:rPr>
          <w:rFonts w:ascii="Times New Roman" w:hAnsi="Times New Roman" w:cs="Times New Roman"/>
          <w:sz w:val="24"/>
          <w:szCs w:val="24"/>
        </w:rPr>
        <w:t>забезпеченні.</w:t>
      </w:r>
    </w:p>
    <w:p w:rsidR="00895A49" w:rsidRPr="00895A49" w:rsidRDefault="00895A49" w:rsidP="00895A49">
      <w:pPr>
        <w:widowControl w:val="0"/>
        <w:spacing w:after="0" w:line="240" w:lineRule="auto"/>
        <w:jc w:val="both"/>
        <w:rPr>
          <w:rFonts w:ascii="Times New Roman" w:hAnsi="Times New Roman" w:cs="Times New Roman"/>
          <w:b/>
          <w:i/>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5.3 Фінансові інвестиції (р. 1035)</w:t>
      </w: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На балансі Компанії обліковуються акції наступних емітентів:</w:t>
      </w:r>
    </w:p>
    <w:tbl>
      <w:tblPr>
        <w:tblW w:w="0" w:type="auto"/>
        <w:tblLook w:val="04A0"/>
      </w:tblPr>
      <w:tblGrid>
        <w:gridCol w:w="5070"/>
        <w:gridCol w:w="1275"/>
        <w:gridCol w:w="1276"/>
        <w:gridCol w:w="1276"/>
        <w:gridCol w:w="1100"/>
      </w:tblGrid>
      <w:tr w:rsidR="00895A49" w:rsidRPr="00895A49" w:rsidTr="00410EA4">
        <w:tc>
          <w:tcPr>
            <w:tcW w:w="5070" w:type="dxa"/>
            <w:vMerge w:val="restart"/>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p>
        </w:tc>
        <w:tc>
          <w:tcPr>
            <w:tcW w:w="2551" w:type="dxa"/>
            <w:gridSpan w:val="2"/>
            <w:tcBorders>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31.03.2022</w:t>
            </w:r>
          </w:p>
        </w:tc>
        <w:tc>
          <w:tcPr>
            <w:tcW w:w="2376" w:type="dxa"/>
            <w:gridSpan w:val="2"/>
            <w:tcBorders>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31.03.2021</w:t>
            </w:r>
          </w:p>
        </w:tc>
      </w:tr>
      <w:tr w:rsidR="00895A49" w:rsidRPr="00895A49" w:rsidTr="00410EA4">
        <w:tc>
          <w:tcPr>
            <w:tcW w:w="5070" w:type="dxa"/>
            <w:vMerge/>
            <w:tcBorders>
              <w:bottom w:val="single" w:sz="4" w:space="0" w:color="auto"/>
            </w:tcBorders>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p>
        </w:tc>
        <w:tc>
          <w:tcPr>
            <w:tcW w:w="1275" w:type="dxa"/>
            <w:tcBorders>
              <w:top w:val="single" w:sz="4" w:space="0" w:color="auto"/>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тис. </w:t>
            </w:r>
            <w:proofErr w:type="spellStart"/>
            <w:r w:rsidRPr="00895A49">
              <w:rPr>
                <w:rFonts w:ascii="Times New Roman" w:hAnsi="Times New Roman" w:cs="Times New Roman"/>
                <w:sz w:val="24"/>
                <w:szCs w:val="24"/>
              </w:rPr>
              <w:t>грн</w:t>
            </w:r>
            <w:proofErr w:type="spellEnd"/>
          </w:p>
        </w:tc>
        <w:tc>
          <w:tcPr>
            <w:tcW w:w="1276" w:type="dxa"/>
            <w:tcBorders>
              <w:top w:val="single" w:sz="4" w:space="0" w:color="auto"/>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частка в СК</w:t>
            </w:r>
          </w:p>
        </w:tc>
        <w:tc>
          <w:tcPr>
            <w:tcW w:w="1276" w:type="dxa"/>
            <w:tcBorders>
              <w:top w:val="single" w:sz="4" w:space="0" w:color="auto"/>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тис. </w:t>
            </w:r>
            <w:proofErr w:type="spellStart"/>
            <w:r w:rsidRPr="00895A49">
              <w:rPr>
                <w:rFonts w:ascii="Times New Roman" w:hAnsi="Times New Roman" w:cs="Times New Roman"/>
                <w:sz w:val="24"/>
                <w:szCs w:val="24"/>
              </w:rPr>
              <w:t>грн</w:t>
            </w:r>
            <w:proofErr w:type="spellEnd"/>
          </w:p>
        </w:tc>
        <w:tc>
          <w:tcPr>
            <w:tcW w:w="1100" w:type="dxa"/>
            <w:tcBorders>
              <w:top w:val="single" w:sz="4" w:space="0" w:color="auto"/>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частка в СК</w:t>
            </w:r>
          </w:p>
        </w:tc>
      </w:tr>
      <w:tr w:rsidR="00895A49" w:rsidRPr="00895A49" w:rsidTr="00410EA4">
        <w:tc>
          <w:tcPr>
            <w:tcW w:w="5070" w:type="dxa"/>
            <w:tcBorders>
              <w:top w:val="single" w:sz="4" w:space="0" w:color="auto"/>
            </w:tcBorders>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ПАТ «Імпульс-Плюс»</w:t>
            </w:r>
          </w:p>
        </w:tc>
        <w:tc>
          <w:tcPr>
            <w:tcW w:w="1275" w:type="dxa"/>
            <w:tcBorders>
              <w:top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3631</w:t>
            </w:r>
          </w:p>
        </w:tc>
        <w:tc>
          <w:tcPr>
            <w:tcW w:w="1276" w:type="dxa"/>
            <w:tcBorders>
              <w:top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0,23%</w:t>
            </w:r>
          </w:p>
        </w:tc>
        <w:tc>
          <w:tcPr>
            <w:tcW w:w="1276" w:type="dxa"/>
            <w:tcBorders>
              <w:top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3631</w:t>
            </w:r>
          </w:p>
        </w:tc>
        <w:tc>
          <w:tcPr>
            <w:tcW w:w="1100" w:type="dxa"/>
            <w:tcBorders>
              <w:top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0,23%</w:t>
            </w:r>
          </w:p>
        </w:tc>
      </w:tr>
      <w:tr w:rsidR="00895A49" w:rsidRPr="00895A49" w:rsidTr="00410EA4">
        <w:tc>
          <w:tcPr>
            <w:tcW w:w="5070" w:type="dxa"/>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ПАТ «</w:t>
            </w:r>
            <w:proofErr w:type="spellStart"/>
            <w:r w:rsidRPr="00895A49">
              <w:rPr>
                <w:rFonts w:ascii="Times New Roman" w:hAnsi="Times New Roman" w:cs="Times New Roman"/>
                <w:sz w:val="24"/>
                <w:szCs w:val="24"/>
              </w:rPr>
              <w:t>Домінанта-Колект</w:t>
            </w:r>
            <w:proofErr w:type="spellEnd"/>
            <w:r w:rsidRPr="00895A49">
              <w:rPr>
                <w:rFonts w:ascii="Times New Roman" w:hAnsi="Times New Roman" w:cs="Times New Roman"/>
                <w:sz w:val="24"/>
                <w:szCs w:val="24"/>
              </w:rPr>
              <w:t>»</w:t>
            </w:r>
          </w:p>
        </w:tc>
        <w:tc>
          <w:tcPr>
            <w:tcW w:w="1275" w:type="dxa"/>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3631</w:t>
            </w:r>
          </w:p>
        </w:tc>
        <w:tc>
          <w:tcPr>
            <w:tcW w:w="1276" w:type="dxa"/>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0,17%</w:t>
            </w:r>
          </w:p>
        </w:tc>
        <w:tc>
          <w:tcPr>
            <w:tcW w:w="1276" w:type="dxa"/>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3631</w:t>
            </w:r>
          </w:p>
        </w:tc>
        <w:tc>
          <w:tcPr>
            <w:tcW w:w="1100" w:type="dxa"/>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0,17%</w:t>
            </w:r>
          </w:p>
        </w:tc>
      </w:tr>
      <w:tr w:rsidR="00895A49" w:rsidRPr="00895A49" w:rsidTr="00410EA4">
        <w:tc>
          <w:tcPr>
            <w:tcW w:w="5070" w:type="dxa"/>
            <w:tcBorders>
              <w:bottom w:val="single" w:sz="4" w:space="0" w:color="auto"/>
            </w:tcBorders>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ПАТ «Київський завод газового устаткування та приладів»</w:t>
            </w:r>
          </w:p>
        </w:tc>
        <w:tc>
          <w:tcPr>
            <w:tcW w:w="1275" w:type="dxa"/>
            <w:tcBorders>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2120</w:t>
            </w:r>
          </w:p>
        </w:tc>
        <w:tc>
          <w:tcPr>
            <w:tcW w:w="1276" w:type="dxa"/>
            <w:tcBorders>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0,09%</w:t>
            </w:r>
          </w:p>
        </w:tc>
        <w:tc>
          <w:tcPr>
            <w:tcW w:w="1276" w:type="dxa"/>
            <w:tcBorders>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2120</w:t>
            </w:r>
          </w:p>
        </w:tc>
        <w:tc>
          <w:tcPr>
            <w:tcW w:w="1100" w:type="dxa"/>
            <w:tcBorders>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0,09%</w:t>
            </w:r>
          </w:p>
        </w:tc>
      </w:tr>
      <w:tr w:rsidR="00895A49" w:rsidRPr="00895A49" w:rsidTr="00410EA4">
        <w:tc>
          <w:tcPr>
            <w:tcW w:w="5070" w:type="dxa"/>
            <w:tcBorders>
              <w:bottom w:val="single" w:sz="4" w:space="0" w:color="auto"/>
            </w:tcBorders>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(Мінус резерв знецінення)</w:t>
            </w:r>
          </w:p>
        </w:tc>
        <w:tc>
          <w:tcPr>
            <w:tcW w:w="1275" w:type="dxa"/>
            <w:tcBorders>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(9 382)</w:t>
            </w:r>
          </w:p>
        </w:tc>
        <w:tc>
          <w:tcPr>
            <w:tcW w:w="1276" w:type="dxa"/>
            <w:tcBorders>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p>
        </w:tc>
        <w:tc>
          <w:tcPr>
            <w:tcW w:w="1276" w:type="dxa"/>
            <w:tcBorders>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(9 382)</w:t>
            </w:r>
          </w:p>
        </w:tc>
        <w:tc>
          <w:tcPr>
            <w:tcW w:w="1100" w:type="dxa"/>
            <w:tcBorders>
              <w:bottom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p>
        </w:tc>
      </w:tr>
      <w:tr w:rsidR="00895A49" w:rsidRPr="00895A49" w:rsidTr="00410EA4">
        <w:tc>
          <w:tcPr>
            <w:tcW w:w="5070" w:type="dxa"/>
            <w:tcBorders>
              <w:top w:val="single" w:sz="4" w:space="0" w:color="auto"/>
            </w:tcBorders>
            <w:shd w:val="clear" w:color="auto" w:fill="auto"/>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bCs/>
                <w:sz w:val="24"/>
                <w:szCs w:val="24"/>
              </w:rPr>
              <w:t>Всього</w:t>
            </w:r>
          </w:p>
        </w:tc>
        <w:tc>
          <w:tcPr>
            <w:tcW w:w="1275" w:type="dxa"/>
            <w:tcBorders>
              <w:top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b/>
                <w:sz w:val="24"/>
                <w:szCs w:val="24"/>
              </w:rPr>
            </w:pPr>
            <w:r w:rsidRPr="00895A49">
              <w:rPr>
                <w:rFonts w:ascii="Times New Roman" w:hAnsi="Times New Roman" w:cs="Times New Roman"/>
                <w:b/>
                <w:sz w:val="24"/>
                <w:szCs w:val="24"/>
              </w:rPr>
              <w:t>-</w:t>
            </w:r>
          </w:p>
        </w:tc>
        <w:tc>
          <w:tcPr>
            <w:tcW w:w="1276" w:type="dxa"/>
            <w:tcBorders>
              <w:top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b/>
                <w:sz w:val="24"/>
                <w:szCs w:val="24"/>
              </w:rPr>
            </w:pPr>
            <w:r w:rsidRPr="00895A49">
              <w:rPr>
                <w:rFonts w:ascii="Times New Roman" w:hAnsi="Times New Roman" w:cs="Times New Roman"/>
                <w:b/>
                <w:sz w:val="24"/>
                <w:szCs w:val="24"/>
              </w:rPr>
              <w:t>х</w:t>
            </w:r>
          </w:p>
        </w:tc>
        <w:tc>
          <w:tcPr>
            <w:tcW w:w="1276" w:type="dxa"/>
            <w:tcBorders>
              <w:top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b/>
                <w:sz w:val="24"/>
                <w:szCs w:val="24"/>
              </w:rPr>
            </w:pPr>
            <w:r w:rsidRPr="00895A49">
              <w:rPr>
                <w:rFonts w:ascii="Times New Roman" w:hAnsi="Times New Roman" w:cs="Times New Roman"/>
                <w:b/>
                <w:sz w:val="24"/>
                <w:szCs w:val="24"/>
              </w:rPr>
              <w:t>-</w:t>
            </w:r>
          </w:p>
        </w:tc>
        <w:tc>
          <w:tcPr>
            <w:tcW w:w="1100" w:type="dxa"/>
            <w:tcBorders>
              <w:top w:val="single" w:sz="4" w:space="0" w:color="auto"/>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b/>
                <w:sz w:val="24"/>
                <w:szCs w:val="24"/>
              </w:rPr>
            </w:pPr>
            <w:r w:rsidRPr="00895A49">
              <w:rPr>
                <w:rFonts w:ascii="Times New Roman" w:hAnsi="Times New Roman" w:cs="Times New Roman"/>
                <w:b/>
                <w:sz w:val="24"/>
                <w:szCs w:val="24"/>
              </w:rPr>
              <w:t>х</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В жодному з наведених емітентів Компанія не має контрольної участі або суттєвого впливу.</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На 31 березня 2022 року та 31 березня 2021 року акції є тимчасово заблокованими в 2014 та 2015 роках на підставі рішень НКЦПФР.</w:t>
      </w:r>
      <w:r w:rsidR="006D4FEE">
        <w:rPr>
          <w:rFonts w:ascii="Times New Roman" w:hAnsi="Times New Roman" w:cs="Times New Roman"/>
          <w:sz w:val="24"/>
          <w:szCs w:val="24"/>
        </w:rPr>
        <w:t xml:space="preserve"> </w:t>
      </w:r>
      <w:r w:rsidRPr="00895A49">
        <w:rPr>
          <w:rFonts w:ascii="Times New Roman" w:hAnsi="Times New Roman" w:cs="Times New Roman"/>
          <w:sz w:val="24"/>
          <w:szCs w:val="24"/>
        </w:rPr>
        <w:t>Під вказані фінансові активи</w:t>
      </w:r>
      <w:r w:rsidR="006D4FEE">
        <w:rPr>
          <w:rFonts w:ascii="Times New Roman" w:hAnsi="Times New Roman" w:cs="Times New Roman"/>
          <w:sz w:val="24"/>
          <w:szCs w:val="24"/>
        </w:rPr>
        <w:t xml:space="preserve"> </w:t>
      </w:r>
      <w:r w:rsidRPr="00895A49">
        <w:rPr>
          <w:rFonts w:ascii="Times New Roman" w:hAnsi="Times New Roman" w:cs="Times New Roman"/>
          <w:sz w:val="24"/>
          <w:szCs w:val="24"/>
        </w:rPr>
        <w:t>сформовано резерв знецінення в загальній сумі 9382 тис. грн.</w:t>
      </w: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tabs>
          <w:tab w:val="left" w:pos="709"/>
          <w:tab w:val="left" w:pos="1701"/>
        </w:tabs>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5.4   Запаси (р. 1101)</w:t>
      </w:r>
    </w:p>
    <w:p w:rsidR="00895A49" w:rsidRPr="00895A49" w:rsidRDefault="00895A49" w:rsidP="00895A49">
      <w:pPr>
        <w:widowControl w:val="0"/>
        <w:tabs>
          <w:tab w:val="left" w:pos="709"/>
          <w:tab w:val="left" w:pos="1701"/>
        </w:tabs>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Запаси представленні таким чином:</w:t>
      </w:r>
    </w:p>
    <w:tbl>
      <w:tblPr>
        <w:tblW w:w="9796" w:type="dxa"/>
        <w:tblInd w:w="93" w:type="dxa"/>
        <w:tblLook w:val="04A0"/>
      </w:tblPr>
      <w:tblGrid>
        <w:gridCol w:w="6637"/>
        <w:gridCol w:w="1296"/>
        <w:gridCol w:w="284"/>
        <w:gridCol w:w="1579"/>
      </w:tblGrid>
      <w:tr w:rsidR="00895A49" w:rsidRPr="00895A49" w:rsidTr="00410EA4">
        <w:trPr>
          <w:trHeight w:val="300"/>
        </w:trPr>
        <w:tc>
          <w:tcPr>
            <w:tcW w:w="6637"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p>
        </w:tc>
        <w:tc>
          <w:tcPr>
            <w:tcW w:w="1296"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284"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p>
        </w:tc>
        <w:tc>
          <w:tcPr>
            <w:tcW w:w="1579"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00"/>
        </w:trPr>
        <w:tc>
          <w:tcPr>
            <w:tcW w:w="6637" w:type="dxa"/>
            <w:tcBorders>
              <w:top w:val="single" w:sz="4" w:space="0" w:color="auto"/>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Паливо</w:t>
            </w:r>
          </w:p>
        </w:tc>
        <w:tc>
          <w:tcPr>
            <w:tcW w:w="1296" w:type="dxa"/>
            <w:tcBorders>
              <w:top w:val="single" w:sz="4" w:space="0" w:color="auto"/>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7</w:t>
            </w:r>
          </w:p>
        </w:tc>
        <w:tc>
          <w:tcPr>
            <w:tcW w:w="284" w:type="dxa"/>
            <w:tcBorders>
              <w:top w:val="single" w:sz="4" w:space="0" w:color="auto"/>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p>
        </w:tc>
        <w:tc>
          <w:tcPr>
            <w:tcW w:w="1579" w:type="dxa"/>
            <w:tcBorders>
              <w:top w:val="single" w:sz="4" w:space="0" w:color="auto"/>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27</w:t>
            </w:r>
          </w:p>
        </w:tc>
      </w:tr>
      <w:tr w:rsidR="00895A49" w:rsidRPr="00895A49" w:rsidTr="00410EA4">
        <w:trPr>
          <w:trHeight w:val="315"/>
        </w:trPr>
        <w:tc>
          <w:tcPr>
            <w:tcW w:w="6637"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lastRenderedPageBreak/>
              <w:t>Всього</w:t>
            </w:r>
          </w:p>
        </w:tc>
        <w:tc>
          <w:tcPr>
            <w:tcW w:w="1296" w:type="dxa"/>
            <w:tcBorders>
              <w:top w:val="single" w:sz="4" w:space="0" w:color="auto"/>
              <w:left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7</w:t>
            </w:r>
          </w:p>
        </w:tc>
        <w:tc>
          <w:tcPr>
            <w:tcW w:w="284"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p>
        </w:tc>
        <w:tc>
          <w:tcPr>
            <w:tcW w:w="1579"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27</w:t>
            </w:r>
          </w:p>
        </w:tc>
      </w:tr>
    </w:tbl>
    <w:p w:rsidR="00895A49" w:rsidRPr="00895A49" w:rsidRDefault="00895A49" w:rsidP="00895A49">
      <w:pPr>
        <w:widowControl w:val="0"/>
        <w:spacing w:after="0" w:line="240" w:lineRule="auto"/>
        <w:jc w:val="both"/>
        <w:rPr>
          <w:rFonts w:ascii="Times New Roman" w:hAnsi="Times New Roman" w:cs="Times New Roman"/>
          <w:b/>
          <w:i/>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5.5   Дебіторська заборгованість  (р. 1125, рр. 1130-1155)</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Дебіторська заборгованість від страхової діяльності (р. 1125) представлена таким чином:</w:t>
      </w:r>
    </w:p>
    <w:p w:rsidR="00895A49" w:rsidRPr="00895A49" w:rsidRDefault="00895A49" w:rsidP="00895A49">
      <w:pPr>
        <w:widowControl w:val="0"/>
        <w:spacing w:after="0" w:line="240" w:lineRule="auto"/>
        <w:jc w:val="both"/>
        <w:rPr>
          <w:rFonts w:ascii="Times New Roman" w:hAnsi="Times New Roman" w:cs="Times New Roman"/>
          <w:sz w:val="24"/>
          <w:szCs w:val="24"/>
        </w:rPr>
      </w:pPr>
    </w:p>
    <w:tbl>
      <w:tblPr>
        <w:tblW w:w="9889" w:type="dxa"/>
        <w:tblLook w:val="04A0"/>
      </w:tblPr>
      <w:tblGrid>
        <w:gridCol w:w="5778"/>
        <w:gridCol w:w="2126"/>
        <w:gridCol w:w="1985"/>
      </w:tblGrid>
      <w:tr w:rsidR="00895A49" w:rsidRPr="00895A49" w:rsidTr="00410EA4">
        <w:tc>
          <w:tcPr>
            <w:tcW w:w="5778" w:type="dxa"/>
            <w:tcBorders>
              <w:bottom w:val="single" w:sz="4" w:space="0" w:color="auto"/>
            </w:tcBorders>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p>
        </w:tc>
        <w:tc>
          <w:tcPr>
            <w:tcW w:w="2126" w:type="dxa"/>
            <w:tcBorders>
              <w:bottom w:val="single" w:sz="4" w:space="0" w:color="auto"/>
            </w:tcBorders>
            <w:shd w:val="clear" w:color="auto" w:fill="auto"/>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31.03.2022</w:t>
            </w:r>
          </w:p>
        </w:tc>
        <w:tc>
          <w:tcPr>
            <w:tcW w:w="1985" w:type="dxa"/>
            <w:tcBorders>
              <w:bottom w:val="single" w:sz="4" w:space="0" w:color="auto"/>
            </w:tcBorders>
            <w:shd w:val="clear" w:color="auto" w:fill="auto"/>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31.03.2021</w:t>
            </w:r>
          </w:p>
        </w:tc>
      </w:tr>
      <w:tr w:rsidR="00895A49" w:rsidRPr="00895A49" w:rsidTr="00410EA4">
        <w:tc>
          <w:tcPr>
            <w:tcW w:w="5778" w:type="dxa"/>
            <w:tcBorders>
              <w:top w:val="single" w:sz="4" w:space="0" w:color="auto"/>
            </w:tcBorders>
            <w:shd w:val="clear" w:color="auto" w:fill="auto"/>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Розрахунки з вітчизняними страхувальниками  (юридичні особи)            </w:t>
            </w:r>
          </w:p>
        </w:tc>
        <w:tc>
          <w:tcPr>
            <w:tcW w:w="2126" w:type="dxa"/>
            <w:tcBorders>
              <w:top w:val="single" w:sz="4" w:space="0" w:color="auto"/>
            </w:tcBorders>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12</w:t>
            </w:r>
          </w:p>
        </w:tc>
        <w:tc>
          <w:tcPr>
            <w:tcW w:w="1985" w:type="dxa"/>
            <w:tcBorders>
              <w:top w:val="single" w:sz="4" w:space="0" w:color="auto"/>
            </w:tcBorders>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328</w:t>
            </w:r>
          </w:p>
        </w:tc>
      </w:tr>
      <w:tr w:rsidR="00895A49" w:rsidRPr="00895A49" w:rsidTr="00410EA4">
        <w:tc>
          <w:tcPr>
            <w:tcW w:w="5778" w:type="dxa"/>
            <w:shd w:val="clear" w:color="auto" w:fill="auto"/>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Розрахунки з вітчизняними страхувальниками  (фізичні особи)            </w:t>
            </w:r>
          </w:p>
        </w:tc>
        <w:tc>
          <w:tcPr>
            <w:tcW w:w="2126" w:type="dxa"/>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8</w:t>
            </w:r>
          </w:p>
        </w:tc>
        <w:tc>
          <w:tcPr>
            <w:tcW w:w="1985" w:type="dxa"/>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9</w:t>
            </w:r>
          </w:p>
        </w:tc>
      </w:tr>
      <w:tr w:rsidR="00895A49" w:rsidRPr="00895A49" w:rsidTr="00410EA4">
        <w:tc>
          <w:tcPr>
            <w:tcW w:w="5778" w:type="dxa"/>
            <w:shd w:val="clear" w:color="auto" w:fill="auto"/>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Розрахунки з вітчизняними перестрахувальниками</w:t>
            </w:r>
          </w:p>
        </w:tc>
        <w:tc>
          <w:tcPr>
            <w:tcW w:w="2126" w:type="dxa"/>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985" w:type="dxa"/>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34</w:t>
            </w:r>
          </w:p>
        </w:tc>
      </w:tr>
      <w:tr w:rsidR="00895A49" w:rsidRPr="00895A49" w:rsidTr="00410EA4">
        <w:tc>
          <w:tcPr>
            <w:tcW w:w="5778" w:type="dxa"/>
            <w:tcBorders>
              <w:top w:val="single" w:sz="4" w:space="0" w:color="auto"/>
            </w:tcBorders>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Резерв очікуваних кредитних збитків</w:t>
            </w:r>
          </w:p>
          <w:p w:rsidR="00895A49" w:rsidRPr="00895A49" w:rsidRDefault="00895A49" w:rsidP="00895A49">
            <w:pPr>
              <w:widowControl w:val="0"/>
              <w:spacing w:after="0" w:line="240" w:lineRule="auto"/>
              <w:jc w:val="both"/>
              <w:rPr>
                <w:rFonts w:ascii="Times New Roman" w:hAnsi="Times New Roman" w:cs="Times New Roman"/>
                <w:b/>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b/>
                <w:sz w:val="24"/>
                <w:szCs w:val="24"/>
              </w:rPr>
              <w:t>Всього</w:t>
            </w:r>
          </w:p>
        </w:tc>
        <w:tc>
          <w:tcPr>
            <w:tcW w:w="2126" w:type="dxa"/>
            <w:tcBorders>
              <w:top w:val="single" w:sz="4" w:space="0" w:color="auto"/>
            </w:tcBorders>
            <w:shd w:val="clear" w:color="auto" w:fill="auto"/>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w:t>
            </w:r>
          </w:p>
          <w:p w:rsidR="00895A49" w:rsidRPr="00895A49" w:rsidRDefault="00895A49" w:rsidP="00895A49">
            <w:pPr>
              <w:widowControl w:val="0"/>
              <w:spacing w:after="0" w:line="240" w:lineRule="auto"/>
              <w:jc w:val="right"/>
              <w:rPr>
                <w:rFonts w:ascii="Times New Roman" w:hAnsi="Times New Roman" w:cs="Times New Roman"/>
                <w:b/>
                <w:sz w:val="24"/>
                <w:szCs w:val="24"/>
              </w:rPr>
            </w:pPr>
          </w:p>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20</w:t>
            </w:r>
          </w:p>
        </w:tc>
        <w:tc>
          <w:tcPr>
            <w:tcW w:w="1985" w:type="dxa"/>
            <w:tcBorders>
              <w:top w:val="single" w:sz="4" w:space="0" w:color="auto"/>
            </w:tcBorders>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(9)</w:t>
            </w:r>
          </w:p>
          <w:p w:rsidR="00895A49" w:rsidRPr="00895A49" w:rsidRDefault="00895A49" w:rsidP="00895A49">
            <w:pPr>
              <w:widowControl w:val="0"/>
              <w:spacing w:after="0" w:line="240" w:lineRule="auto"/>
              <w:jc w:val="right"/>
              <w:rPr>
                <w:rFonts w:ascii="Times New Roman" w:hAnsi="Times New Roman" w:cs="Times New Roman"/>
                <w:b/>
                <w:sz w:val="24"/>
                <w:szCs w:val="24"/>
              </w:rPr>
            </w:pPr>
          </w:p>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362</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pStyle w:val="Default"/>
        <w:widowControl w:val="0"/>
        <w:jc w:val="both"/>
        <w:rPr>
          <w:rFonts w:ascii="Times New Roman" w:hAnsi="Times New Roman" w:cs="Times New Roman"/>
          <w:color w:val="auto"/>
          <w:lang w:val="uk-UA"/>
        </w:rPr>
      </w:pPr>
      <w:r w:rsidRPr="00895A49">
        <w:rPr>
          <w:rFonts w:ascii="Times New Roman" w:hAnsi="Times New Roman" w:cs="Times New Roman"/>
          <w:color w:val="auto"/>
          <w:lang w:val="uk-UA"/>
        </w:rPr>
        <w:t>Компанія оцінює, що середній період погашення дебіторської заборгованості становить 30 днів з дати її виникнення. Дана оцінка проведена на основі історії здійснення платежів від страхувальників по договорам страхування. Компанія оцінює, що дана дебіторська заборгованість буде повністю погашена страхувальниками.</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По дебіторській заборгованості, яка має ознаки сумнівності нараховується резерв очікуваних кредитних збитків, який визначається за методом застосування абсолютної суми сумнівної заборгованості на основі аналізу платоспроможності окремих дебіторів.</w:t>
      </w: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Інша дебіторська заборгованість (рр. 1130-1155)  представлена таким чином:</w:t>
      </w:r>
    </w:p>
    <w:p w:rsidR="00895A49" w:rsidRPr="00895A49" w:rsidRDefault="00895A49" w:rsidP="00895A49">
      <w:pPr>
        <w:widowControl w:val="0"/>
        <w:spacing w:after="0" w:line="240" w:lineRule="auto"/>
        <w:jc w:val="both"/>
        <w:rPr>
          <w:rFonts w:ascii="Times New Roman" w:hAnsi="Times New Roman" w:cs="Times New Roman"/>
          <w:b/>
          <w:sz w:val="24"/>
          <w:szCs w:val="24"/>
        </w:rPr>
      </w:pPr>
    </w:p>
    <w:tbl>
      <w:tblPr>
        <w:tblW w:w="9781" w:type="dxa"/>
        <w:tblInd w:w="108" w:type="dxa"/>
        <w:tblLook w:val="04A0"/>
      </w:tblPr>
      <w:tblGrid>
        <w:gridCol w:w="6379"/>
        <w:gridCol w:w="1418"/>
        <w:gridCol w:w="1984"/>
      </w:tblGrid>
      <w:tr w:rsidR="00895A49" w:rsidRPr="00895A49" w:rsidTr="00410EA4">
        <w:trPr>
          <w:trHeight w:val="312"/>
        </w:trPr>
        <w:tc>
          <w:tcPr>
            <w:tcW w:w="6379"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w:t>
            </w:r>
          </w:p>
        </w:tc>
        <w:tc>
          <w:tcPr>
            <w:tcW w:w="1418"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984"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00"/>
        </w:trPr>
        <w:tc>
          <w:tcPr>
            <w:tcW w:w="6379"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Аванси постачальникам товарів і послуг </w:t>
            </w:r>
          </w:p>
        </w:tc>
        <w:tc>
          <w:tcPr>
            <w:tcW w:w="1418"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71</w:t>
            </w:r>
          </w:p>
        </w:tc>
        <w:tc>
          <w:tcPr>
            <w:tcW w:w="1984"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70</w:t>
            </w:r>
          </w:p>
        </w:tc>
      </w:tr>
      <w:tr w:rsidR="00895A49" w:rsidRPr="00895A49" w:rsidTr="00410EA4">
        <w:trPr>
          <w:trHeight w:val="300"/>
        </w:trPr>
        <w:tc>
          <w:tcPr>
            <w:tcW w:w="6379"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Розрахунки з бюджетом  </w:t>
            </w:r>
          </w:p>
        </w:tc>
        <w:tc>
          <w:tcPr>
            <w:tcW w:w="1418"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984"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25</w:t>
            </w:r>
          </w:p>
        </w:tc>
      </w:tr>
      <w:tr w:rsidR="00895A49" w:rsidRPr="00895A49" w:rsidTr="00410EA4">
        <w:trPr>
          <w:trHeight w:val="600"/>
        </w:trPr>
        <w:tc>
          <w:tcPr>
            <w:tcW w:w="6379"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Заборгованість по нарахованим  відсоткам  за депозитними угодами з банками</w:t>
            </w:r>
          </w:p>
        </w:tc>
        <w:tc>
          <w:tcPr>
            <w:tcW w:w="1418"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100</w:t>
            </w:r>
          </w:p>
        </w:tc>
        <w:tc>
          <w:tcPr>
            <w:tcW w:w="1984"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206</w:t>
            </w:r>
          </w:p>
        </w:tc>
      </w:tr>
      <w:tr w:rsidR="00895A49" w:rsidRPr="00895A49" w:rsidTr="00410EA4">
        <w:trPr>
          <w:trHeight w:val="312"/>
        </w:trPr>
        <w:tc>
          <w:tcPr>
            <w:tcW w:w="6379"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Інша поточна дебіторська заборгованість </w:t>
            </w:r>
          </w:p>
        </w:tc>
        <w:tc>
          <w:tcPr>
            <w:tcW w:w="1418" w:type="dxa"/>
            <w:tcBorders>
              <w:top w:val="nil"/>
              <w:left w:val="nil"/>
              <w:bottom w:val="single" w:sz="8"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21</w:t>
            </w:r>
          </w:p>
        </w:tc>
        <w:tc>
          <w:tcPr>
            <w:tcW w:w="1984"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18</w:t>
            </w:r>
          </w:p>
        </w:tc>
      </w:tr>
      <w:tr w:rsidR="00895A49" w:rsidRPr="00895A49" w:rsidTr="00410EA4">
        <w:trPr>
          <w:trHeight w:val="312"/>
        </w:trPr>
        <w:tc>
          <w:tcPr>
            <w:tcW w:w="6379"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(Мінус резерв очікуваних кредитних збитків)</w:t>
            </w:r>
          </w:p>
        </w:tc>
        <w:tc>
          <w:tcPr>
            <w:tcW w:w="1418" w:type="dxa"/>
            <w:tcBorders>
              <w:top w:val="nil"/>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w:t>
            </w:r>
          </w:p>
        </w:tc>
        <w:tc>
          <w:tcPr>
            <w:tcW w:w="1984"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w:t>
            </w:r>
          </w:p>
        </w:tc>
      </w:tr>
      <w:tr w:rsidR="00895A49" w:rsidRPr="00895A49" w:rsidTr="00410EA4">
        <w:trPr>
          <w:trHeight w:val="312"/>
        </w:trPr>
        <w:tc>
          <w:tcPr>
            <w:tcW w:w="6379"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 xml:space="preserve">Всього </w:t>
            </w:r>
          </w:p>
        </w:tc>
        <w:tc>
          <w:tcPr>
            <w:tcW w:w="1418" w:type="dxa"/>
            <w:tcBorders>
              <w:top w:val="single" w:sz="4" w:space="0" w:color="auto"/>
              <w:left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190</w:t>
            </w:r>
          </w:p>
        </w:tc>
        <w:tc>
          <w:tcPr>
            <w:tcW w:w="1984"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317</w:t>
            </w:r>
          </w:p>
        </w:tc>
      </w:tr>
    </w:tbl>
    <w:p w:rsidR="00895A49" w:rsidRPr="00895A49" w:rsidRDefault="00895A49" w:rsidP="00895A49">
      <w:pPr>
        <w:widowControl w:val="0"/>
        <w:spacing w:after="0" w:line="240" w:lineRule="auto"/>
        <w:jc w:val="both"/>
        <w:rPr>
          <w:rFonts w:ascii="Times New Roman" w:hAnsi="Times New Roman" w:cs="Times New Roman"/>
          <w:b/>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До складу іншої дебіторської заборгованості включені передплачені витрати з обслуговування програмного забезпечення, інформаційної підтримки, обслуговування основних засобів.</w:t>
      </w:r>
    </w:p>
    <w:p w:rsidR="00895A49" w:rsidRPr="00895A49" w:rsidRDefault="00895A49" w:rsidP="00895A49">
      <w:pPr>
        <w:widowControl w:val="0"/>
        <w:spacing w:after="0" w:line="240" w:lineRule="auto"/>
        <w:jc w:val="both"/>
        <w:rPr>
          <w:rFonts w:ascii="Times New Roman" w:hAnsi="Times New Roman" w:cs="Times New Roman"/>
          <w:b/>
          <w:i/>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 xml:space="preserve">Зміни </w:t>
      </w:r>
      <w:proofErr w:type="spellStart"/>
      <w:r w:rsidRPr="00895A49">
        <w:rPr>
          <w:rFonts w:ascii="Times New Roman" w:hAnsi="Times New Roman" w:cs="Times New Roman"/>
          <w:b/>
          <w:i/>
          <w:sz w:val="24"/>
          <w:szCs w:val="24"/>
        </w:rPr>
        <w:t>резервуочікуваних</w:t>
      </w:r>
      <w:proofErr w:type="spellEnd"/>
      <w:r w:rsidRPr="00895A49">
        <w:rPr>
          <w:rFonts w:ascii="Times New Roman" w:hAnsi="Times New Roman" w:cs="Times New Roman"/>
          <w:b/>
          <w:i/>
          <w:sz w:val="24"/>
          <w:szCs w:val="24"/>
        </w:rPr>
        <w:t xml:space="preserve"> кредитних збитків (знецінення)представлені таким чином:</w:t>
      </w:r>
    </w:p>
    <w:p w:rsidR="00895A49" w:rsidRPr="00895A49" w:rsidRDefault="00895A49" w:rsidP="00895A49">
      <w:pPr>
        <w:widowControl w:val="0"/>
        <w:spacing w:after="0" w:line="240" w:lineRule="auto"/>
        <w:jc w:val="both"/>
        <w:rPr>
          <w:rFonts w:ascii="Times New Roman" w:hAnsi="Times New Roman" w:cs="Times New Roman"/>
          <w:b/>
          <w:i/>
          <w:sz w:val="24"/>
          <w:szCs w:val="24"/>
        </w:rPr>
      </w:pPr>
    </w:p>
    <w:tbl>
      <w:tblPr>
        <w:tblW w:w="9781" w:type="dxa"/>
        <w:tblInd w:w="108" w:type="dxa"/>
        <w:tblLook w:val="04A0"/>
      </w:tblPr>
      <w:tblGrid>
        <w:gridCol w:w="6644"/>
        <w:gridCol w:w="1296"/>
        <w:gridCol w:w="1841"/>
      </w:tblGrid>
      <w:tr w:rsidR="00895A49" w:rsidRPr="00895A49" w:rsidTr="00410EA4">
        <w:trPr>
          <w:trHeight w:val="312"/>
        </w:trPr>
        <w:tc>
          <w:tcPr>
            <w:tcW w:w="6663"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w:t>
            </w:r>
          </w:p>
        </w:tc>
        <w:tc>
          <w:tcPr>
            <w:tcW w:w="1275"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843"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12"/>
        </w:trPr>
        <w:tc>
          <w:tcPr>
            <w:tcW w:w="666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b/>
                <w:bCs/>
                <w:i/>
                <w:iCs/>
                <w:sz w:val="24"/>
                <w:szCs w:val="24"/>
              </w:rPr>
            </w:pPr>
            <w:r w:rsidRPr="00895A49">
              <w:rPr>
                <w:rFonts w:ascii="Times New Roman" w:hAnsi="Times New Roman" w:cs="Times New Roman"/>
                <w:b/>
                <w:i/>
                <w:sz w:val="24"/>
                <w:szCs w:val="24"/>
              </w:rPr>
              <w:t xml:space="preserve">Дебіторська заборгованість  від страхової діяльності </w:t>
            </w:r>
          </w:p>
        </w:tc>
        <w:tc>
          <w:tcPr>
            <w:tcW w:w="1275"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rPr>
                <w:rFonts w:ascii="Times New Roman" w:hAnsi="Times New Roman" w:cs="Times New Roman"/>
                <w:b/>
                <w:bCs/>
                <w:i/>
                <w:iCs/>
                <w:sz w:val="24"/>
                <w:szCs w:val="24"/>
              </w:rPr>
            </w:pPr>
          </w:p>
        </w:tc>
        <w:tc>
          <w:tcPr>
            <w:tcW w:w="184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b/>
                <w:bCs/>
                <w:i/>
                <w:iCs/>
                <w:sz w:val="24"/>
                <w:szCs w:val="24"/>
              </w:rPr>
            </w:pPr>
          </w:p>
        </w:tc>
      </w:tr>
      <w:tr w:rsidR="00895A49" w:rsidRPr="00895A49" w:rsidTr="00410EA4">
        <w:trPr>
          <w:trHeight w:val="300"/>
        </w:trPr>
        <w:tc>
          <w:tcPr>
            <w:tcW w:w="666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 xml:space="preserve">Станом на початок року </w:t>
            </w:r>
          </w:p>
        </w:tc>
        <w:tc>
          <w:tcPr>
            <w:tcW w:w="1275"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84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00"/>
        </w:trPr>
        <w:tc>
          <w:tcPr>
            <w:tcW w:w="666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Нарахування резерву </w:t>
            </w:r>
          </w:p>
        </w:tc>
        <w:tc>
          <w:tcPr>
            <w:tcW w:w="1275"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84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9</w:t>
            </w:r>
          </w:p>
        </w:tc>
      </w:tr>
      <w:tr w:rsidR="00895A49" w:rsidRPr="00895A49" w:rsidTr="00410EA4">
        <w:trPr>
          <w:trHeight w:val="300"/>
        </w:trPr>
        <w:tc>
          <w:tcPr>
            <w:tcW w:w="6663"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Використання резерву</w:t>
            </w:r>
          </w:p>
        </w:tc>
        <w:tc>
          <w:tcPr>
            <w:tcW w:w="1275" w:type="dxa"/>
            <w:tcBorders>
              <w:top w:val="nil"/>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843"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00"/>
        </w:trPr>
        <w:tc>
          <w:tcPr>
            <w:tcW w:w="6663"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Станом на кінець періоду</w:t>
            </w:r>
          </w:p>
        </w:tc>
        <w:tc>
          <w:tcPr>
            <w:tcW w:w="1275" w:type="dxa"/>
            <w:tcBorders>
              <w:top w:val="single" w:sz="4" w:space="0" w:color="auto"/>
              <w:left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w:t>
            </w:r>
          </w:p>
        </w:tc>
        <w:tc>
          <w:tcPr>
            <w:tcW w:w="1843"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9</w:t>
            </w:r>
          </w:p>
        </w:tc>
      </w:tr>
    </w:tbl>
    <w:p w:rsidR="00895A49" w:rsidRPr="00895A49" w:rsidRDefault="00895A49" w:rsidP="00895A49">
      <w:pPr>
        <w:widowControl w:val="0"/>
        <w:spacing w:after="0" w:line="240" w:lineRule="auto"/>
        <w:jc w:val="both"/>
        <w:rPr>
          <w:rFonts w:ascii="Times New Roman" w:hAnsi="Times New Roman" w:cs="Times New Roman"/>
          <w:b/>
          <w:i/>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p>
    <w:tbl>
      <w:tblPr>
        <w:tblW w:w="9781" w:type="dxa"/>
        <w:tblInd w:w="108" w:type="dxa"/>
        <w:tblLook w:val="04A0"/>
      </w:tblPr>
      <w:tblGrid>
        <w:gridCol w:w="6644"/>
        <w:gridCol w:w="1296"/>
        <w:gridCol w:w="1841"/>
      </w:tblGrid>
      <w:tr w:rsidR="00895A49" w:rsidRPr="00895A49" w:rsidTr="00410EA4">
        <w:trPr>
          <w:trHeight w:val="312"/>
        </w:trPr>
        <w:tc>
          <w:tcPr>
            <w:tcW w:w="6663"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p>
        </w:tc>
        <w:tc>
          <w:tcPr>
            <w:tcW w:w="1275"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843"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12"/>
        </w:trPr>
        <w:tc>
          <w:tcPr>
            <w:tcW w:w="666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b/>
                <w:bCs/>
                <w:i/>
                <w:iCs/>
                <w:sz w:val="24"/>
                <w:szCs w:val="24"/>
              </w:rPr>
            </w:pPr>
            <w:r w:rsidRPr="00895A49">
              <w:rPr>
                <w:rFonts w:ascii="Times New Roman" w:hAnsi="Times New Roman" w:cs="Times New Roman"/>
                <w:b/>
                <w:bCs/>
                <w:i/>
                <w:iCs/>
                <w:sz w:val="24"/>
                <w:szCs w:val="24"/>
              </w:rPr>
              <w:lastRenderedPageBreak/>
              <w:t>Інша дебіторська заборгованість</w:t>
            </w:r>
          </w:p>
        </w:tc>
        <w:tc>
          <w:tcPr>
            <w:tcW w:w="1275"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rPr>
                <w:rFonts w:ascii="Times New Roman" w:hAnsi="Times New Roman" w:cs="Times New Roman"/>
                <w:b/>
                <w:bCs/>
                <w:i/>
                <w:iCs/>
                <w:sz w:val="24"/>
                <w:szCs w:val="24"/>
              </w:rPr>
            </w:pPr>
          </w:p>
        </w:tc>
        <w:tc>
          <w:tcPr>
            <w:tcW w:w="184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b/>
                <w:bCs/>
                <w:i/>
                <w:iCs/>
                <w:sz w:val="24"/>
                <w:szCs w:val="24"/>
              </w:rPr>
            </w:pPr>
          </w:p>
        </w:tc>
      </w:tr>
      <w:tr w:rsidR="00895A49" w:rsidRPr="00895A49" w:rsidTr="00410EA4">
        <w:trPr>
          <w:trHeight w:val="300"/>
        </w:trPr>
        <w:tc>
          <w:tcPr>
            <w:tcW w:w="666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 xml:space="preserve">Станом на початок року </w:t>
            </w:r>
          </w:p>
        </w:tc>
        <w:tc>
          <w:tcPr>
            <w:tcW w:w="1275"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w:t>
            </w:r>
          </w:p>
        </w:tc>
        <w:tc>
          <w:tcPr>
            <w:tcW w:w="184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w:t>
            </w:r>
          </w:p>
        </w:tc>
      </w:tr>
      <w:tr w:rsidR="00895A49" w:rsidRPr="00895A49" w:rsidTr="00410EA4">
        <w:trPr>
          <w:trHeight w:val="300"/>
        </w:trPr>
        <w:tc>
          <w:tcPr>
            <w:tcW w:w="666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Нарахування резерву </w:t>
            </w:r>
          </w:p>
        </w:tc>
        <w:tc>
          <w:tcPr>
            <w:tcW w:w="1275"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84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00"/>
        </w:trPr>
        <w:tc>
          <w:tcPr>
            <w:tcW w:w="6663"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Використання резерву</w:t>
            </w:r>
          </w:p>
        </w:tc>
        <w:tc>
          <w:tcPr>
            <w:tcW w:w="1275" w:type="dxa"/>
            <w:tcBorders>
              <w:top w:val="nil"/>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843"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00"/>
        </w:trPr>
        <w:tc>
          <w:tcPr>
            <w:tcW w:w="6663"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Станом на кінець періоду</w:t>
            </w:r>
          </w:p>
        </w:tc>
        <w:tc>
          <w:tcPr>
            <w:tcW w:w="1275" w:type="dxa"/>
            <w:tcBorders>
              <w:top w:val="single" w:sz="4" w:space="0" w:color="auto"/>
              <w:left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2</w:t>
            </w:r>
          </w:p>
        </w:tc>
        <w:tc>
          <w:tcPr>
            <w:tcW w:w="1843"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2</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b/>
          <w:i/>
          <w:sz w:val="24"/>
          <w:szCs w:val="24"/>
        </w:rPr>
        <w:t>5.6 Грошові кошти та їх еквіваленти(р. 1165)</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Грошові </w:t>
      </w:r>
      <w:proofErr w:type="spellStart"/>
      <w:r w:rsidRPr="00895A49">
        <w:rPr>
          <w:rFonts w:ascii="Times New Roman" w:hAnsi="Times New Roman" w:cs="Times New Roman"/>
          <w:sz w:val="24"/>
          <w:szCs w:val="24"/>
        </w:rPr>
        <w:t>коштиу</w:t>
      </w:r>
      <w:proofErr w:type="spellEnd"/>
      <w:r w:rsidRPr="00895A49">
        <w:rPr>
          <w:rFonts w:ascii="Times New Roman" w:hAnsi="Times New Roman" w:cs="Times New Roman"/>
          <w:sz w:val="24"/>
          <w:szCs w:val="24"/>
        </w:rPr>
        <w:t xml:space="preserve"> перерахунку в національну валюту представлені наступним чином:</w:t>
      </w:r>
    </w:p>
    <w:p w:rsidR="00895A49" w:rsidRPr="00895A49" w:rsidRDefault="00895A49" w:rsidP="00895A49">
      <w:pPr>
        <w:widowControl w:val="0"/>
        <w:spacing w:after="0" w:line="240" w:lineRule="auto"/>
        <w:jc w:val="both"/>
        <w:rPr>
          <w:rFonts w:ascii="Times New Roman" w:hAnsi="Times New Roman" w:cs="Times New Roman"/>
          <w:sz w:val="24"/>
          <w:szCs w:val="24"/>
        </w:rPr>
      </w:pPr>
    </w:p>
    <w:tbl>
      <w:tblPr>
        <w:tblW w:w="9781" w:type="dxa"/>
        <w:tblInd w:w="108" w:type="dxa"/>
        <w:tblLook w:val="04A0"/>
      </w:tblPr>
      <w:tblGrid>
        <w:gridCol w:w="6663"/>
        <w:gridCol w:w="1296"/>
        <w:gridCol w:w="1858"/>
      </w:tblGrid>
      <w:tr w:rsidR="00895A49" w:rsidRPr="00895A49" w:rsidTr="00410EA4">
        <w:trPr>
          <w:trHeight w:val="312"/>
          <w:tblHeader/>
        </w:trPr>
        <w:tc>
          <w:tcPr>
            <w:tcW w:w="6663"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w:t>
            </w:r>
          </w:p>
        </w:tc>
        <w:tc>
          <w:tcPr>
            <w:tcW w:w="1260"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858"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00"/>
        </w:trPr>
        <w:tc>
          <w:tcPr>
            <w:tcW w:w="666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Кошти в банках та касі в національній валюті </w:t>
            </w:r>
          </w:p>
        </w:tc>
        <w:tc>
          <w:tcPr>
            <w:tcW w:w="126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10 963</w:t>
            </w:r>
          </w:p>
        </w:tc>
        <w:tc>
          <w:tcPr>
            <w:tcW w:w="185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3371</w:t>
            </w:r>
          </w:p>
        </w:tc>
      </w:tr>
      <w:tr w:rsidR="00895A49" w:rsidRPr="00895A49" w:rsidTr="00410EA4">
        <w:trPr>
          <w:trHeight w:val="384"/>
        </w:trPr>
        <w:tc>
          <w:tcPr>
            <w:tcW w:w="666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Кошти в банках та касі  в іноземній валюті, в т.ч.:</w:t>
            </w:r>
          </w:p>
        </w:tc>
        <w:tc>
          <w:tcPr>
            <w:tcW w:w="126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10 441</w:t>
            </w:r>
          </w:p>
        </w:tc>
        <w:tc>
          <w:tcPr>
            <w:tcW w:w="185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9 490</w:t>
            </w:r>
          </w:p>
        </w:tc>
      </w:tr>
      <w:tr w:rsidR="00895A49" w:rsidRPr="00895A49" w:rsidTr="00410EA4">
        <w:trPr>
          <w:trHeight w:val="288"/>
        </w:trPr>
        <w:tc>
          <w:tcPr>
            <w:tcW w:w="666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i/>
                <w:iCs/>
                <w:sz w:val="24"/>
                <w:szCs w:val="24"/>
              </w:rPr>
            </w:pPr>
            <w:r w:rsidRPr="00895A49">
              <w:rPr>
                <w:rFonts w:ascii="Times New Roman" w:hAnsi="Times New Roman" w:cs="Times New Roman"/>
                <w:i/>
                <w:iCs/>
                <w:sz w:val="24"/>
                <w:szCs w:val="24"/>
              </w:rPr>
              <w:t>USD</w:t>
            </w:r>
          </w:p>
        </w:tc>
        <w:tc>
          <w:tcPr>
            <w:tcW w:w="126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i/>
                <w:iCs/>
                <w:sz w:val="24"/>
                <w:szCs w:val="24"/>
              </w:rPr>
            </w:pPr>
            <w:r w:rsidRPr="00895A49">
              <w:rPr>
                <w:rFonts w:ascii="Times New Roman" w:hAnsi="Times New Roman" w:cs="Times New Roman"/>
                <w:i/>
                <w:iCs/>
                <w:sz w:val="24"/>
                <w:szCs w:val="24"/>
              </w:rPr>
              <w:t>3 924</w:t>
            </w:r>
          </w:p>
        </w:tc>
        <w:tc>
          <w:tcPr>
            <w:tcW w:w="185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i/>
                <w:iCs/>
                <w:sz w:val="24"/>
                <w:szCs w:val="24"/>
              </w:rPr>
            </w:pPr>
            <w:r w:rsidRPr="00895A49">
              <w:rPr>
                <w:rFonts w:ascii="Times New Roman" w:hAnsi="Times New Roman" w:cs="Times New Roman"/>
                <w:i/>
                <w:iCs/>
                <w:sz w:val="24"/>
                <w:szCs w:val="24"/>
              </w:rPr>
              <w:t>8443</w:t>
            </w:r>
          </w:p>
        </w:tc>
      </w:tr>
      <w:tr w:rsidR="00895A49" w:rsidRPr="00895A49" w:rsidTr="00410EA4">
        <w:trPr>
          <w:trHeight w:val="288"/>
        </w:trPr>
        <w:tc>
          <w:tcPr>
            <w:tcW w:w="666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i/>
                <w:iCs/>
                <w:sz w:val="24"/>
                <w:szCs w:val="24"/>
              </w:rPr>
            </w:pPr>
            <w:r w:rsidRPr="00895A49">
              <w:rPr>
                <w:rFonts w:ascii="Times New Roman" w:hAnsi="Times New Roman" w:cs="Times New Roman"/>
                <w:i/>
                <w:iCs/>
                <w:sz w:val="24"/>
                <w:szCs w:val="24"/>
              </w:rPr>
              <w:t>EUR</w:t>
            </w:r>
          </w:p>
        </w:tc>
        <w:tc>
          <w:tcPr>
            <w:tcW w:w="126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i/>
                <w:iCs/>
                <w:sz w:val="24"/>
                <w:szCs w:val="24"/>
              </w:rPr>
            </w:pPr>
            <w:r w:rsidRPr="00895A49">
              <w:rPr>
                <w:rFonts w:ascii="Times New Roman" w:hAnsi="Times New Roman" w:cs="Times New Roman"/>
                <w:i/>
                <w:iCs/>
                <w:sz w:val="24"/>
                <w:szCs w:val="24"/>
              </w:rPr>
              <w:t>6 517</w:t>
            </w:r>
          </w:p>
        </w:tc>
        <w:tc>
          <w:tcPr>
            <w:tcW w:w="185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i/>
                <w:iCs/>
                <w:sz w:val="24"/>
                <w:szCs w:val="24"/>
              </w:rPr>
            </w:pPr>
            <w:r w:rsidRPr="00895A49">
              <w:rPr>
                <w:rFonts w:ascii="Times New Roman" w:hAnsi="Times New Roman" w:cs="Times New Roman"/>
                <w:i/>
                <w:iCs/>
                <w:sz w:val="24"/>
                <w:szCs w:val="24"/>
              </w:rPr>
              <w:t>1 047</w:t>
            </w:r>
          </w:p>
        </w:tc>
      </w:tr>
      <w:tr w:rsidR="00895A49" w:rsidRPr="00895A49" w:rsidTr="00410EA4">
        <w:trPr>
          <w:trHeight w:val="288"/>
        </w:trPr>
        <w:tc>
          <w:tcPr>
            <w:tcW w:w="6663"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i/>
                <w:iCs/>
                <w:sz w:val="24"/>
                <w:szCs w:val="24"/>
              </w:rPr>
            </w:pPr>
          </w:p>
        </w:tc>
        <w:tc>
          <w:tcPr>
            <w:tcW w:w="1260"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p>
        </w:tc>
        <w:tc>
          <w:tcPr>
            <w:tcW w:w="1858"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p>
        </w:tc>
      </w:tr>
      <w:tr w:rsidR="00895A49" w:rsidRPr="00895A49" w:rsidTr="00410EA4">
        <w:trPr>
          <w:trHeight w:val="300"/>
        </w:trPr>
        <w:tc>
          <w:tcPr>
            <w:tcW w:w="666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Короткострокові депозити в національній валюті  </w:t>
            </w:r>
          </w:p>
        </w:tc>
        <w:tc>
          <w:tcPr>
            <w:tcW w:w="126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12800</w:t>
            </w:r>
          </w:p>
        </w:tc>
        <w:tc>
          <w:tcPr>
            <w:tcW w:w="185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27700</w:t>
            </w:r>
          </w:p>
        </w:tc>
      </w:tr>
      <w:tr w:rsidR="00895A49" w:rsidRPr="00895A49" w:rsidTr="00410EA4">
        <w:trPr>
          <w:trHeight w:val="348"/>
        </w:trPr>
        <w:tc>
          <w:tcPr>
            <w:tcW w:w="666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Короткострокові депозити в іноземній валюті, в </w:t>
            </w:r>
            <w:proofErr w:type="spellStart"/>
            <w:r w:rsidRPr="00895A49">
              <w:rPr>
                <w:rFonts w:ascii="Times New Roman" w:hAnsi="Times New Roman" w:cs="Times New Roman"/>
                <w:sz w:val="24"/>
                <w:szCs w:val="24"/>
              </w:rPr>
              <w:t>.т.ч</w:t>
            </w:r>
            <w:proofErr w:type="spellEnd"/>
            <w:r w:rsidRPr="00895A49">
              <w:rPr>
                <w:rFonts w:ascii="Times New Roman" w:hAnsi="Times New Roman" w:cs="Times New Roman"/>
                <w:sz w:val="24"/>
                <w:szCs w:val="24"/>
              </w:rPr>
              <w:t>.:</w:t>
            </w:r>
          </w:p>
        </w:tc>
        <w:tc>
          <w:tcPr>
            <w:tcW w:w="126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12287</w:t>
            </w:r>
          </w:p>
        </w:tc>
        <w:tc>
          <w:tcPr>
            <w:tcW w:w="185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6135</w:t>
            </w:r>
          </w:p>
        </w:tc>
      </w:tr>
      <w:tr w:rsidR="00895A49" w:rsidRPr="00895A49" w:rsidTr="00410EA4">
        <w:trPr>
          <w:trHeight w:val="300"/>
        </w:trPr>
        <w:tc>
          <w:tcPr>
            <w:tcW w:w="6663"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i/>
                <w:iCs/>
                <w:sz w:val="24"/>
                <w:szCs w:val="24"/>
              </w:rPr>
            </w:pPr>
            <w:r w:rsidRPr="00895A49">
              <w:rPr>
                <w:rFonts w:ascii="Times New Roman" w:hAnsi="Times New Roman" w:cs="Times New Roman"/>
                <w:i/>
                <w:iCs/>
                <w:sz w:val="24"/>
                <w:szCs w:val="24"/>
              </w:rPr>
              <w:t>USD</w:t>
            </w:r>
          </w:p>
        </w:tc>
        <w:tc>
          <w:tcPr>
            <w:tcW w:w="126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i/>
                <w:iCs/>
                <w:sz w:val="24"/>
                <w:szCs w:val="24"/>
              </w:rPr>
            </w:pPr>
            <w:r w:rsidRPr="00895A49">
              <w:rPr>
                <w:rFonts w:ascii="Times New Roman" w:hAnsi="Times New Roman" w:cs="Times New Roman"/>
                <w:i/>
                <w:iCs/>
                <w:sz w:val="24"/>
                <w:szCs w:val="24"/>
              </w:rPr>
              <w:t>12287</w:t>
            </w:r>
          </w:p>
        </w:tc>
        <w:tc>
          <w:tcPr>
            <w:tcW w:w="185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i/>
                <w:iCs/>
                <w:sz w:val="24"/>
                <w:szCs w:val="24"/>
              </w:rPr>
            </w:pPr>
            <w:r w:rsidRPr="00895A49">
              <w:rPr>
                <w:rFonts w:ascii="Times New Roman" w:hAnsi="Times New Roman" w:cs="Times New Roman"/>
                <w:i/>
                <w:iCs/>
                <w:sz w:val="24"/>
                <w:szCs w:val="24"/>
              </w:rPr>
              <w:t>6135</w:t>
            </w:r>
          </w:p>
        </w:tc>
      </w:tr>
      <w:tr w:rsidR="00895A49" w:rsidRPr="00895A49" w:rsidTr="00410EA4">
        <w:trPr>
          <w:trHeight w:val="300"/>
        </w:trPr>
        <w:tc>
          <w:tcPr>
            <w:tcW w:w="6663"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i/>
                <w:iCs/>
                <w:sz w:val="24"/>
                <w:szCs w:val="24"/>
              </w:rPr>
            </w:pPr>
            <w:r w:rsidRPr="00895A49">
              <w:rPr>
                <w:rFonts w:ascii="Times New Roman" w:hAnsi="Times New Roman" w:cs="Times New Roman"/>
                <w:i/>
                <w:iCs/>
                <w:sz w:val="24"/>
                <w:szCs w:val="24"/>
              </w:rPr>
              <w:t>EUR</w:t>
            </w:r>
          </w:p>
        </w:tc>
        <w:tc>
          <w:tcPr>
            <w:tcW w:w="1260" w:type="dxa"/>
            <w:tcBorders>
              <w:top w:val="nil"/>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i/>
                <w:iCs/>
                <w:sz w:val="24"/>
                <w:szCs w:val="24"/>
              </w:rPr>
            </w:pPr>
            <w:r w:rsidRPr="00895A49">
              <w:rPr>
                <w:rFonts w:ascii="Times New Roman" w:hAnsi="Times New Roman" w:cs="Times New Roman"/>
                <w:i/>
                <w:iCs/>
                <w:sz w:val="24"/>
                <w:szCs w:val="24"/>
              </w:rPr>
              <w:t>-</w:t>
            </w:r>
          </w:p>
        </w:tc>
        <w:tc>
          <w:tcPr>
            <w:tcW w:w="1858"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i/>
                <w:iCs/>
                <w:sz w:val="24"/>
                <w:szCs w:val="24"/>
              </w:rPr>
            </w:pPr>
            <w:r w:rsidRPr="00895A49">
              <w:rPr>
                <w:rFonts w:ascii="Times New Roman" w:hAnsi="Times New Roman" w:cs="Times New Roman"/>
                <w:i/>
                <w:iCs/>
                <w:sz w:val="24"/>
                <w:szCs w:val="24"/>
              </w:rPr>
              <w:t>-</w:t>
            </w:r>
          </w:p>
        </w:tc>
      </w:tr>
      <w:tr w:rsidR="00895A49" w:rsidRPr="00895A49" w:rsidTr="00410EA4">
        <w:trPr>
          <w:trHeight w:val="300"/>
        </w:trPr>
        <w:tc>
          <w:tcPr>
            <w:tcW w:w="6663"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1260" w:type="dxa"/>
            <w:tcBorders>
              <w:top w:val="single" w:sz="4" w:space="0" w:color="auto"/>
              <w:left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46491</w:t>
            </w:r>
          </w:p>
        </w:tc>
        <w:tc>
          <w:tcPr>
            <w:tcW w:w="1858"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46696</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Концентрація грошових коштів в банківських установах:</w:t>
      </w:r>
    </w:p>
    <w:p w:rsidR="00895A49" w:rsidRPr="00895A49" w:rsidRDefault="00895A49" w:rsidP="00895A49">
      <w:pPr>
        <w:widowControl w:val="0"/>
        <w:spacing w:after="0" w:line="240" w:lineRule="auto"/>
        <w:jc w:val="both"/>
        <w:rPr>
          <w:rFonts w:ascii="Times New Roman" w:hAnsi="Times New Roman" w:cs="Times New Roman"/>
          <w:sz w:val="24"/>
          <w:szCs w:val="24"/>
        </w:rPr>
      </w:pPr>
    </w:p>
    <w:tbl>
      <w:tblPr>
        <w:tblW w:w="9781" w:type="dxa"/>
        <w:tblInd w:w="108" w:type="dxa"/>
        <w:tblLook w:val="04A0"/>
      </w:tblPr>
      <w:tblGrid>
        <w:gridCol w:w="6915"/>
        <w:gridCol w:w="1296"/>
        <w:gridCol w:w="1570"/>
      </w:tblGrid>
      <w:tr w:rsidR="00895A49" w:rsidRPr="00895A49" w:rsidTr="00410EA4">
        <w:trPr>
          <w:trHeight w:val="312"/>
        </w:trPr>
        <w:tc>
          <w:tcPr>
            <w:tcW w:w="6915"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sz w:val="24"/>
                <w:szCs w:val="24"/>
              </w:rPr>
            </w:pPr>
            <w:r w:rsidRPr="00895A49">
              <w:rPr>
                <w:rFonts w:ascii="Times New Roman" w:hAnsi="Times New Roman" w:cs="Times New Roman"/>
                <w:sz w:val="24"/>
                <w:szCs w:val="24"/>
              </w:rPr>
              <w:t> </w:t>
            </w:r>
            <w:r w:rsidRPr="00895A49">
              <w:rPr>
                <w:rFonts w:ascii="Times New Roman" w:hAnsi="Times New Roman" w:cs="Times New Roman"/>
                <w:b/>
                <w:sz w:val="24"/>
                <w:szCs w:val="24"/>
              </w:rPr>
              <w:t>Рейтинги</w:t>
            </w:r>
          </w:p>
        </w:tc>
        <w:tc>
          <w:tcPr>
            <w:tcW w:w="1296"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570"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00"/>
        </w:trPr>
        <w:tc>
          <w:tcPr>
            <w:tcW w:w="6915"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АТ «</w:t>
            </w:r>
            <w:proofErr w:type="spellStart"/>
            <w:r w:rsidRPr="00895A49">
              <w:rPr>
                <w:rFonts w:ascii="Times New Roman" w:hAnsi="Times New Roman" w:cs="Times New Roman"/>
                <w:sz w:val="24"/>
                <w:szCs w:val="24"/>
              </w:rPr>
              <w:t>Райффайзен</w:t>
            </w:r>
            <w:proofErr w:type="spellEnd"/>
            <w:r w:rsidRPr="00895A49">
              <w:rPr>
                <w:rFonts w:ascii="Times New Roman" w:hAnsi="Times New Roman" w:cs="Times New Roman"/>
                <w:sz w:val="24"/>
                <w:szCs w:val="24"/>
              </w:rPr>
              <w:t xml:space="preserve"> Банк»                                ААА</w:t>
            </w:r>
          </w:p>
        </w:tc>
        <w:tc>
          <w:tcPr>
            <w:tcW w:w="1296"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21</w:t>
            </w:r>
          </w:p>
        </w:tc>
        <w:tc>
          <w:tcPr>
            <w:tcW w:w="157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3 013</w:t>
            </w:r>
          </w:p>
        </w:tc>
      </w:tr>
      <w:tr w:rsidR="00895A49" w:rsidRPr="00895A49" w:rsidTr="00410EA4">
        <w:trPr>
          <w:trHeight w:val="300"/>
        </w:trPr>
        <w:tc>
          <w:tcPr>
            <w:tcW w:w="6915"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АТ «Укрексімбанк»                                         АА</w:t>
            </w:r>
          </w:p>
        </w:tc>
        <w:tc>
          <w:tcPr>
            <w:tcW w:w="1296"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15 927</w:t>
            </w:r>
          </w:p>
        </w:tc>
        <w:tc>
          <w:tcPr>
            <w:tcW w:w="157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21 434</w:t>
            </w:r>
          </w:p>
        </w:tc>
      </w:tr>
      <w:tr w:rsidR="00895A49" w:rsidRPr="00895A49" w:rsidTr="00410EA4">
        <w:trPr>
          <w:trHeight w:val="300"/>
        </w:trPr>
        <w:tc>
          <w:tcPr>
            <w:tcW w:w="6915"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АТ «</w:t>
            </w:r>
            <w:proofErr w:type="spellStart"/>
            <w:r w:rsidRPr="00895A49">
              <w:rPr>
                <w:rFonts w:ascii="Times New Roman" w:hAnsi="Times New Roman" w:cs="Times New Roman"/>
                <w:sz w:val="24"/>
                <w:szCs w:val="24"/>
              </w:rPr>
              <w:t>Кредобанк</w:t>
            </w:r>
            <w:proofErr w:type="spellEnd"/>
            <w:r w:rsidRPr="00895A49">
              <w:rPr>
                <w:rFonts w:ascii="Times New Roman" w:hAnsi="Times New Roman" w:cs="Times New Roman"/>
                <w:sz w:val="24"/>
                <w:szCs w:val="24"/>
              </w:rPr>
              <w:t xml:space="preserve">»                                            ААА   </w:t>
            </w:r>
          </w:p>
        </w:tc>
        <w:tc>
          <w:tcPr>
            <w:tcW w:w="1296"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6 655</w:t>
            </w:r>
          </w:p>
        </w:tc>
        <w:tc>
          <w:tcPr>
            <w:tcW w:w="157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1 034</w:t>
            </w:r>
          </w:p>
        </w:tc>
      </w:tr>
      <w:tr w:rsidR="00895A49" w:rsidRPr="00895A49" w:rsidTr="00410EA4">
        <w:trPr>
          <w:trHeight w:val="300"/>
        </w:trPr>
        <w:tc>
          <w:tcPr>
            <w:tcW w:w="6915"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АТ «</w:t>
            </w:r>
            <w:proofErr w:type="spellStart"/>
            <w:r w:rsidRPr="00895A49">
              <w:rPr>
                <w:rFonts w:ascii="Times New Roman" w:hAnsi="Times New Roman" w:cs="Times New Roman"/>
                <w:sz w:val="24"/>
                <w:szCs w:val="24"/>
              </w:rPr>
              <w:t>Мегабанк</w:t>
            </w:r>
            <w:proofErr w:type="spellEnd"/>
            <w:r w:rsidRPr="00895A49">
              <w:rPr>
                <w:rFonts w:ascii="Times New Roman" w:hAnsi="Times New Roman" w:cs="Times New Roman"/>
                <w:sz w:val="24"/>
                <w:szCs w:val="24"/>
              </w:rPr>
              <w:t>»                                                АА</w:t>
            </w:r>
          </w:p>
        </w:tc>
        <w:tc>
          <w:tcPr>
            <w:tcW w:w="1296"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w:t>
            </w:r>
          </w:p>
        </w:tc>
        <w:tc>
          <w:tcPr>
            <w:tcW w:w="157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w:t>
            </w:r>
          </w:p>
        </w:tc>
      </w:tr>
      <w:tr w:rsidR="00895A49" w:rsidRPr="00895A49" w:rsidTr="00410EA4">
        <w:trPr>
          <w:trHeight w:val="300"/>
        </w:trPr>
        <w:tc>
          <w:tcPr>
            <w:tcW w:w="6915"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АТ «</w:t>
            </w:r>
            <w:proofErr w:type="spellStart"/>
            <w:r w:rsidRPr="00895A49">
              <w:rPr>
                <w:rFonts w:ascii="Times New Roman" w:hAnsi="Times New Roman" w:cs="Times New Roman"/>
                <w:sz w:val="24"/>
                <w:szCs w:val="24"/>
              </w:rPr>
              <w:t>ПроКредитБанк</w:t>
            </w:r>
            <w:proofErr w:type="spellEnd"/>
            <w:r w:rsidRPr="00895A49">
              <w:rPr>
                <w:rFonts w:ascii="Times New Roman" w:hAnsi="Times New Roman" w:cs="Times New Roman"/>
                <w:sz w:val="24"/>
                <w:szCs w:val="24"/>
              </w:rPr>
              <w:t xml:space="preserve">»                                  АА </w:t>
            </w:r>
          </w:p>
        </w:tc>
        <w:tc>
          <w:tcPr>
            <w:tcW w:w="1296"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7802</w:t>
            </w:r>
          </w:p>
        </w:tc>
        <w:tc>
          <w:tcPr>
            <w:tcW w:w="157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5 631</w:t>
            </w:r>
          </w:p>
        </w:tc>
      </w:tr>
      <w:tr w:rsidR="00895A49" w:rsidRPr="00895A49" w:rsidTr="00410EA4">
        <w:trPr>
          <w:trHeight w:val="300"/>
        </w:trPr>
        <w:tc>
          <w:tcPr>
            <w:tcW w:w="6915"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ПАТ АБ «</w:t>
            </w:r>
            <w:proofErr w:type="spellStart"/>
            <w:r w:rsidRPr="00895A49">
              <w:rPr>
                <w:rFonts w:ascii="Times New Roman" w:hAnsi="Times New Roman" w:cs="Times New Roman"/>
                <w:sz w:val="24"/>
                <w:szCs w:val="24"/>
              </w:rPr>
              <w:t>Укргазбанк</w:t>
            </w:r>
            <w:proofErr w:type="spellEnd"/>
            <w:r w:rsidRPr="00895A49">
              <w:rPr>
                <w:rFonts w:ascii="Times New Roman" w:hAnsi="Times New Roman" w:cs="Times New Roman"/>
                <w:sz w:val="24"/>
                <w:szCs w:val="24"/>
              </w:rPr>
              <w:t>»                                    АА</w:t>
            </w:r>
          </w:p>
        </w:tc>
        <w:tc>
          <w:tcPr>
            <w:tcW w:w="1296"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15059</w:t>
            </w:r>
          </w:p>
        </w:tc>
        <w:tc>
          <w:tcPr>
            <w:tcW w:w="157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14 761</w:t>
            </w:r>
          </w:p>
        </w:tc>
      </w:tr>
      <w:tr w:rsidR="00895A49" w:rsidRPr="00895A49" w:rsidTr="00410EA4">
        <w:trPr>
          <w:trHeight w:val="300"/>
        </w:trPr>
        <w:tc>
          <w:tcPr>
            <w:tcW w:w="6915"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АТ КБ «Приватбанк»                                       АА</w:t>
            </w:r>
          </w:p>
        </w:tc>
        <w:tc>
          <w:tcPr>
            <w:tcW w:w="1296"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1 026</w:t>
            </w:r>
          </w:p>
        </w:tc>
        <w:tc>
          <w:tcPr>
            <w:tcW w:w="157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822</w:t>
            </w:r>
          </w:p>
        </w:tc>
      </w:tr>
      <w:tr w:rsidR="00895A49" w:rsidRPr="00895A49" w:rsidTr="00410EA4">
        <w:trPr>
          <w:trHeight w:val="300"/>
        </w:trPr>
        <w:tc>
          <w:tcPr>
            <w:tcW w:w="6915"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1296" w:type="dxa"/>
            <w:tcBorders>
              <w:top w:val="single" w:sz="4" w:space="0" w:color="auto"/>
              <w:left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46491</w:t>
            </w:r>
          </w:p>
        </w:tc>
        <w:tc>
          <w:tcPr>
            <w:tcW w:w="1570"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46696</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Управлінський персонал оцінює зменшення корисності депозитів в банках, грошей та їх еквівалентів, визначаючи ймовірність відшкодування їх вартості на основі детального аналізу банків.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На 31 березня 2022 року управлінський персонал не ідентифікував ознак знецінення грошових коштів та їх еквівалентів та депозитів в банках і не визнав додаткові резерви на покриття збитків від знецінення залишків.</w:t>
      </w:r>
    </w:p>
    <w:p w:rsidR="00895A49" w:rsidRPr="00895A49" w:rsidRDefault="00895A49" w:rsidP="00895A49">
      <w:pPr>
        <w:widowControl w:val="0"/>
        <w:spacing w:after="0" w:line="240" w:lineRule="auto"/>
        <w:jc w:val="both"/>
        <w:rPr>
          <w:rFonts w:ascii="Times New Roman" w:hAnsi="Times New Roman" w:cs="Times New Roman"/>
          <w:color w:val="000000"/>
          <w:sz w:val="24"/>
          <w:szCs w:val="24"/>
          <w:shd w:val="clear" w:color="auto" w:fill="FFFFFF"/>
        </w:rPr>
      </w:pPr>
      <w:r w:rsidRPr="00895A49">
        <w:rPr>
          <w:rFonts w:ascii="Times New Roman" w:hAnsi="Times New Roman" w:cs="Times New Roman"/>
          <w:sz w:val="24"/>
          <w:szCs w:val="24"/>
          <w:shd w:val="clear" w:color="auto" w:fill="FFFFFF"/>
        </w:rPr>
        <w:t>На дату подачі звітності АТ "МЕГАБАНК” віднесений до категорії неплатоспроможних </w:t>
      </w:r>
      <w:hyperlink r:id="rId7" w:history="1">
        <w:r w:rsidRPr="00895A49">
          <w:rPr>
            <w:rFonts w:ascii="Times New Roman" w:hAnsi="Times New Roman" w:cs="Times New Roman"/>
            <w:sz w:val="24"/>
            <w:szCs w:val="24"/>
            <w:shd w:val="clear" w:color="auto" w:fill="FFFFFF"/>
          </w:rPr>
          <w:t>рішенням Правління Національного банку від  02 червня 2022 року № 261-рш/БТ</w:t>
        </w:r>
      </w:hyperlink>
      <w:r w:rsidRPr="00895A49">
        <w:rPr>
          <w:rFonts w:ascii="Times New Roman" w:hAnsi="Times New Roman" w:cs="Times New Roman"/>
          <w:color w:val="000000"/>
          <w:sz w:val="24"/>
          <w:szCs w:val="24"/>
          <w:shd w:val="clear" w:color="auto" w:fill="FFFFFF"/>
        </w:rPr>
        <w:t>.</w:t>
      </w:r>
    </w:p>
    <w:p w:rsidR="00895A49" w:rsidRPr="00895A49" w:rsidRDefault="00895A49" w:rsidP="00895A49">
      <w:pPr>
        <w:widowControl w:val="0"/>
        <w:spacing w:after="0" w:line="240" w:lineRule="auto"/>
        <w:jc w:val="both"/>
        <w:rPr>
          <w:rFonts w:ascii="Times New Roman" w:hAnsi="Times New Roman" w:cs="Times New Roman"/>
          <w:sz w:val="24"/>
          <w:szCs w:val="24"/>
          <w:u w:val="single"/>
        </w:rPr>
      </w:pPr>
    </w:p>
    <w:p w:rsidR="00895A49" w:rsidRPr="00895A49" w:rsidRDefault="00895A49" w:rsidP="00895A49">
      <w:pPr>
        <w:widowControl w:val="0"/>
        <w:spacing w:after="0" w:line="240" w:lineRule="auto"/>
        <w:jc w:val="both"/>
        <w:rPr>
          <w:rFonts w:ascii="Times New Roman" w:hAnsi="Times New Roman" w:cs="Times New Roman"/>
          <w:sz w:val="24"/>
          <w:szCs w:val="24"/>
          <w:lang w:val="ru-RU"/>
        </w:rPr>
      </w:pPr>
      <w:r w:rsidRPr="00895A49">
        <w:rPr>
          <w:rFonts w:ascii="Times New Roman" w:hAnsi="Times New Roman" w:cs="Times New Roman"/>
          <w:sz w:val="24"/>
          <w:szCs w:val="24"/>
        </w:rPr>
        <w:t>Депозити за строками погашення узагальнено таким чином:</w:t>
      </w:r>
    </w:p>
    <w:tbl>
      <w:tblPr>
        <w:tblW w:w="9898" w:type="dxa"/>
        <w:tblInd w:w="108" w:type="dxa"/>
        <w:tblLook w:val="04A0"/>
      </w:tblPr>
      <w:tblGrid>
        <w:gridCol w:w="4678"/>
        <w:gridCol w:w="1260"/>
        <w:gridCol w:w="1440"/>
        <w:gridCol w:w="1440"/>
        <w:gridCol w:w="1080"/>
      </w:tblGrid>
      <w:tr w:rsidR="00895A49" w:rsidRPr="00895A49" w:rsidTr="00410EA4">
        <w:trPr>
          <w:trHeight w:val="612"/>
        </w:trPr>
        <w:tc>
          <w:tcPr>
            <w:tcW w:w="4678"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w:t>
            </w:r>
          </w:p>
        </w:tc>
        <w:tc>
          <w:tcPr>
            <w:tcW w:w="1260"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до 3 місяців</w:t>
            </w:r>
          </w:p>
        </w:tc>
        <w:tc>
          <w:tcPr>
            <w:tcW w:w="1440"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від 3 місяців до1 року</w:t>
            </w:r>
          </w:p>
        </w:tc>
        <w:tc>
          <w:tcPr>
            <w:tcW w:w="1440"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від 1 до 3 років</w:t>
            </w:r>
          </w:p>
        </w:tc>
        <w:tc>
          <w:tcPr>
            <w:tcW w:w="1080"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r>
      <w:tr w:rsidR="00895A49" w:rsidRPr="00895A49" w:rsidTr="00410EA4">
        <w:trPr>
          <w:trHeight w:val="300"/>
        </w:trPr>
        <w:tc>
          <w:tcPr>
            <w:tcW w:w="4678"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lang w:val="en-US"/>
              </w:rPr>
            </w:pPr>
            <w:r w:rsidRPr="00895A49">
              <w:rPr>
                <w:rFonts w:ascii="Times New Roman" w:hAnsi="Times New Roman" w:cs="Times New Roman"/>
                <w:sz w:val="24"/>
                <w:szCs w:val="24"/>
              </w:rPr>
              <w:t>на 31.03.2022</w:t>
            </w:r>
          </w:p>
        </w:tc>
        <w:tc>
          <w:tcPr>
            <w:tcW w:w="126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both"/>
              <w:rPr>
                <w:rFonts w:ascii="Times New Roman" w:hAnsi="Times New Roman" w:cs="Times New Roman"/>
                <w:sz w:val="24"/>
                <w:szCs w:val="24"/>
              </w:rPr>
            </w:pPr>
          </w:p>
        </w:tc>
        <w:tc>
          <w:tcPr>
            <w:tcW w:w="144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p>
        </w:tc>
        <w:tc>
          <w:tcPr>
            <w:tcW w:w="144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p>
        </w:tc>
        <w:tc>
          <w:tcPr>
            <w:tcW w:w="108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p>
        </w:tc>
      </w:tr>
      <w:tr w:rsidR="00895A49" w:rsidRPr="00895A49" w:rsidTr="00410EA4">
        <w:trPr>
          <w:trHeight w:val="360"/>
        </w:trPr>
        <w:tc>
          <w:tcPr>
            <w:tcW w:w="4678"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lastRenderedPageBreak/>
              <w:t>Депозити в банках у національній валюті (UAH)</w:t>
            </w:r>
          </w:p>
        </w:tc>
        <w:tc>
          <w:tcPr>
            <w:tcW w:w="126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rPr>
              <w:t>128</w:t>
            </w:r>
            <w:r w:rsidRPr="00895A49">
              <w:rPr>
                <w:rFonts w:ascii="Times New Roman" w:hAnsi="Times New Roman" w:cs="Times New Roman"/>
                <w:sz w:val="24"/>
                <w:szCs w:val="24"/>
                <w:lang w:val="en-US"/>
              </w:rPr>
              <w:t>00</w:t>
            </w:r>
          </w:p>
        </w:tc>
        <w:tc>
          <w:tcPr>
            <w:tcW w:w="144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lang w:val="en-US"/>
              </w:rPr>
              <w:t>-</w:t>
            </w:r>
          </w:p>
        </w:tc>
        <w:tc>
          <w:tcPr>
            <w:tcW w:w="144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lang w:val="en-US"/>
              </w:rPr>
              <w:t>-</w:t>
            </w:r>
          </w:p>
        </w:tc>
        <w:tc>
          <w:tcPr>
            <w:tcW w:w="108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lang w:val="en-US"/>
              </w:rPr>
            </w:pPr>
            <w:r w:rsidRPr="00895A49">
              <w:rPr>
                <w:rFonts w:ascii="Times New Roman" w:hAnsi="Times New Roman" w:cs="Times New Roman"/>
                <w:b/>
                <w:bCs/>
                <w:sz w:val="24"/>
                <w:szCs w:val="24"/>
              </w:rPr>
              <w:t>128</w:t>
            </w:r>
            <w:r w:rsidRPr="00895A49">
              <w:rPr>
                <w:rFonts w:ascii="Times New Roman" w:hAnsi="Times New Roman" w:cs="Times New Roman"/>
                <w:b/>
                <w:bCs/>
                <w:sz w:val="24"/>
                <w:szCs w:val="24"/>
                <w:lang w:val="en-US"/>
              </w:rPr>
              <w:t>00</w:t>
            </w:r>
          </w:p>
        </w:tc>
      </w:tr>
      <w:tr w:rsidR="00895A49" w:rsidRPr="00895A49" w:rsidTr="00410EA4">
        <w:trPr>
          <w:trHeight w:val="360"/>
        </w:trPr>
        <w:tc>
          <w:tcPr>
            <w:tcW w:w="4678"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Депозити в банках в доларах США (USD)</w:t>
            </w:r>
          </w:p>
        </w:tc>
        <w:tc>
          <w:tcPr>
            <w:tcW w:w="1260" w:type="dxa"/>
            <w:tcBorders>
              <w:top w:val="nil"/>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lang w:val="en-US"/>
              </w:rPr>
              <w:t>1</w:t>
            </w:r>
            <w:r w:rsidRPr="00895A49">
              <w:rPr>
                <w:rFonts w:ascii="Times New Roman" w:hAnsi="Times New Roman" w:cs="Times New Roman"/>
                <w:sz w:val="24"/>
                <w:szCs w:val="24"/>
              </w:rPr>
              <w:t>2287</w:t>
            </w:r>
          </w:p>
        </w:tc>
        <w:tc>
          <w:tcPr>
            <w:tcW w:w="1440" w:type="dxa"/>
            <w:tcBorders>
              <w:top w:val="nil"/>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lang w:val="en-US"/>
              </w:rPr>
              <w:t>-</w:t>
            </w:r>
          </w:p>
        </w:tc>
        <w:tc>
          <w:tcPr>
            <w:tcW w:w="1440" w:type="dxa"/>
            <w:tcBorders>
              <w:top w:val="nil"/>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en-US"/>
              </w:rPr>
            </w:pPr>
            <w:r w:rsidRPr="00895A49">
              <w:rPr>
                <w:rFonts w:ascii="Times New Roman" w:hAnsi="Times New Roman" w:cs="Times New Roman"/>
                <w:sz w:val="24"/>
                <w:szCs w:val="24"/>
                <w:lang w:val="en-US"/>
              </w:rPr>
              <w:t>-</w:t>
            </w:r>
          </w:p>
        </w:tc>
        <w:tc>
          <w:tcPr>
            <w:tcW w:w="1080" w:type="dxa"/>
            <w:tcBorders>
              <w:top w:val="nil"/>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lang w:val="en-US"/>
              </w:rPr>
            </w:pPr>
            <w:r w:rsidRPr="00895A49">
              <w:rPr>
                <w:rFonts w:ascii="Times New Roman" w:hAnsi="Times New Roman" w:cs="Times New Roman"/>
                <w:b/>
                <w:bCs/>
                <w:sz w:val="24"/>
                <w:szCs w:val="24"/>
                <w:lang w:val="en-US"/>
              </w:rPr>
              <w:t>1</w:t>
            </w:r>
            <w:r w:rsidRPr="00895A49">
              <w:rPr>
                <w:rFonts w:ascii="Times New Roman" w:hAnsi="Times New Roman" w:cs="Times New Roman"/>
                <w:b/>
                <w:bCs/>
                <w:sz w:val="24"/>
                <w:szCs w:val="24"/>
              </w:rPr>
              <w:t>2287</w:t>
            </w:r>
          </w:p>
        </w:tc>
      </w:tr>
      <w:tr w:rsidR="00895A49" w:rsidRPr="00895A49" w:rsidTr="00410EA4">
        <w:trPr>
          <w:trHeight w:val="360"/>
        </w:trPr>
        <w:tc>
          <w:tcPr>
            <w:tcW w:w="4678"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p>
        </w:tc>
        <w:tc>
          <w:tcPr>
            <w:tcW w:w="126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p>
        </w:tc>
        <w:tc>
          <w:tcPr>
            <w:tcW w:w="144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44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08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 xml:space="preserve">          -     </w:t>
            </w:r>
          </w:p>
        </w:tc>
      </w:tr>
      <w:tr w:rsidR="00895A49" w:rsidRPr="00895A49" w:rsidTr="00410EA4">
        <w:trPr>
          <w:trHeight w:val="360"/>
        </w:trPr>
        <w:tc>
          <w:tcPr>
            <w:tcW w:w="4678"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на 31.03.2021</w:t>
            </w:r>
          </w:p>
        </w:tc>
        <w:tc>
          <w:tcPr>
            <w:tcW w:w="126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p>
        </w:tc>
        <w:tc>
          <w:tcPr>
            <w:tcW w:w="144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44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08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 xml:space="preserve">          -     </w:t>
            </w:r>
          </w:p>
        </w:tc>
      </w:tr>
      <w:tr w:rsidR="00895A49" w:rsidRPr="00895A49" w:rsidTr="00410EA4">
        <w:trPr>
          <w:trHeight w:val="360"/>
        </w:trPr>
        <w:tc>
          <w:tcPr>
            <w:tcW w:w="4678"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Депозити в банках у національній валюті (UAH)</w:t>
            </w:r>
          </w:p>
        </w:tc>
        <w:tc>
          <w:tcPr>
            <w:tcW w:w="126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27700</w:t>
            </w:r>
          </w:p>
        </w:tc>
        <w:tc>
          <w:tcPr>
            <w:tcW w:w="144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 </w:t>
            </w:r>
          </w:p>
        </w:tc>
        <w:tc>
          <w:tcPr>
            <w:tcW w:w="144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 </w:t>
            </w:r>
          </w:p>
        </w:tc>
        <w:tc>
          <w:tcPr>
            <w:tcW w:w="108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27700</w:t>
            </w:r>
          </w:p>
        </w:tc>
      </w:tr>
      <w:tr w:rsidR="00895A49" w:rsidRPr="00895A49" w:rsidTr="00410EA4">
        <w:trPr>
          <w:trHeight w:val="360"/>
        </w:trPr>
        <w:tc>
          <w:tcPr>
            <w:tcW w:w="4678"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Депозити в банках в доларах США (USD)</w:t>
            </w:r>
          </w:p>
        </w:tc>
        <w:tc>
          <w:tcPr>
            <w:tcW w:w="1260"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6135</w:t>
            </w:r>
          </w:p>
        </w:tc>
        <w:tc>
          <w:tcPr>
            <w:tcW w:w="1440"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 </w:t>
            </w:r>
          </w:p>
        </w:tc>
        <w:tc>
          <w:tcPr>
            <w:tcW w:w="1440"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 </w:t>
            </w:r>
          </w:p>
        </w:tc>
        <w:tc>
          <w:tcPr>
            <w:tcW w:w="1080"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6135</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Процентні </w:t>
      </w:r>
      <w:proofErr w:type="spellStart"/>
      <w:r w:rsidRPr="00895A49">
        <w:rPr>
          <w:rFonts w:ascii="Times New Roman" w:hAnsi="Times New Roman" w:cs="Times New Roman"/>
          <w:sz w:val="24"/>
          <w:szCs w:val="24"/>
        </w:rPr>
        <w:t>ставкиза</w:t>
      </w:r>
      <w:proofErr w:type="spellEnd"/>
      <w:r w:rsidRPr="00895A49">
        <w:rPr>
          <w:rFonts w:ascii="Times New Roman" w:hAnsi="Times New Roman" w:cs="Times New Roman"/>
          <w:sz w:val="24"/>
          <w:szCs w:val="24"/>
        </w:rPr>
        <w:t xml:space="preserve"> звітний період за депозитами складають від </w:t>
      </w:r>
      <w:r w:rsidRPr="00895A49">
        <w:rPr>
          <w:rFonts w:ascii="Times New Roman" w:hAnsi="Times New Roman" w:cs="Times New Roman"/>
          <w:sz w:val="24"/>
          <w:szCs w:val="24"/>
          <w:lang w:val="ru-RU"/>
        </w:rPr>
        <w:t>0,4</w:t>
      </w:r>
      <w:r w:rsidRPr="00895A49">
        <w:rPr>
          <w:rFonts w:ascii="Times New Roman" w:hAnsi="Times New Roman" w:cs="Times New Roman"/>
          <w:sz w:val="24"/>
          <w:szCs w:val="24"/>
        </w:rPr>
        <w:t>% до 9</w:t>
      </w:r>
      <w:r w:rsidRPr="00895A49">
        <w:rPr>
          <w:rFonts w:ascii="Times New Roman" w:hAnsi="Times New Roman" w:cs="Times New Roman"/>
          <w:sz w:val="24"/>
          <w:szCs w:val="24"/>
          <w:lang w:val="ru-RU"/>
        </w:rPr>
        <w:t>,0</w:t>
      </w:r>
      <w:r w:rsidRPr="00895A49">
        <w:rPr>
          <w:rFonts w:ascii="Times New Roman" w:hAnsi="Times New Roman" w:cs="Times New Roman"/>
          <w:sz w:val="24"/>
          <w:szCs w:val="24"/>
        </w:rPr>
        <w:t>%, а за аналогічний період 2021 року - від 0,5% до 7,5% в залежності від  суми та валюти договорів.</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Грошові кошти та їх еквіваленти розміщені в банках, які мають кредитний рейтинг не нижче ніж «АА» за національною рейтинговою шкалою. </w:t>
      </w: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5.7   Власний капітал (рр. 1400 -1425)</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На 31 березня 2022 року </w:t>
      </w:r>
      <w:proofErr w:type="spellStart"/>
      <w:r w:rsidRPr="00895A49">
        <w:rPr>
          <w:rFonts w:ascii="Times New Roman" w:hAnsi="Times New Roman" w:cs="Times New Roman"/>
          <w:sz w:val="24"/>
          <w:szCs w:val="24"/>
        </w:rPr>
        <w:t>року</w:t>
      </w:r>
      <w:proofErr w:type="spellEnd"/>
      <w:r w:rsidRPr="00895A49">
        <w:rPr>
          <w:rFonts w:ascii="Times New Roman" w:hAnsi="Times New Roman" w:cs="Times New Roman"/>
          <w:sz w:val="24"/>
          <w:szCs w:val="24"/>
        </w:rPr>
        <w:t xml:space="preserve"> статутний капітал Компанії зареєстрований і повністю сплачений. Статутний капітал складається з 10 000 простих іменних акцій номінальною вартістю 1200 грн. за акцію, що становить 12 000 тис. грн. (12 000 тис. грн. на 31 березня 2021 р.). Засновниками Компанії є фізичні особи, зареєстровані на території України.</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Випущені акції належали наступним акціонерам:</w:t>
      </w:r>
    </w:p>
    <w:p w:rsidR="00895A49" w:rsidRPr="00895A49" w:rsidRDefault="00895A49" w:rsidP="00895A49">
      <w:pPr>
        <w:widowControl w:val="0"/>
        <w:spacing w:after="0" w:line="240" w:lineRule="auto"/>
        <w:jc w:val="both"/>
        <w:rPr>
          <w:rFonts w:ascii="Times New Roman" w:hAnsi="Times New Roman" w:cs="Times New Roman"/>
          <w:sz w:val="24"/>
          <w:szCs w:val="24"/>
        </w:rPr>
      </w:pPr>
    </w:p>
    <w:tbl>
      <w:tblPr>
        <w:tblW w:w="0" w:type="auto"/>
        <w:tblLook w:val="04A0"/>
      </w:tblPr>
      <w:tblGrid>
        <w:gridCol w:w="5070"/>
        <w:gridCol w:w="1275"/>
        <w:gridCol w:w="1276"/>
        <w:gridCol w:w="1276"/>
        <w:gridCol w:w="1100"/>
      </w:tblGrid>
      <w:tr w:rsidR="00895A49" w:rsidRPr="00895A49" w:rsidTr="00410EA4">
        <w:tc>
          <w:tcPr>
            <w:tcW w:w="5070" w:type="dxa"/>
            <w:vMerge w:val="restart"/>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p>
        </w:tc>
        <w:tc>
          <w:tcPr>
            <w:tcW w:w="2551" w:type="dxa"/>
            <w:gridSpan w:val="2"/>
            <w:shd w:val="clear" w:color="auto" w:fill="auto"/>
          </w:tcPr>
          <w:p w:rsidR="00895A49" w:rsidRPr="00895A49" w:rsidRDefault="00895A49" w:rsidP="00895A49">
            <w:pPr>
              <w:widowControl w:val="0"/>
              <w:spacing w:after="0" w:line="240" w:lineRule="auto"/>
              <w:jc w:val="center"/>
              <w:rPr>
                <w:rFonts w:ascii="Times New Roman" w:hAnsi="Times New Roman" w:cs="Times New Roman"/>
                <w:b/>
                <w:sz w:val="24"/>
                <w:szCs w:val="24"/>
              </w:rPr>
            </w:pPr>
            <w:r w:rsidRPr="00895A49">
              <w:rPr>
                <w:rFonts w:ascii="Times New Roman" w:hAnsi="Times New Roman" w:cs="Times New Roman"/>
                <w:b/>
                <w:sz w:val="24"/>
                <w:szCs w:val="24"/>
              </w:rPr>
              <w:t>31.03.2022</w:t>
            </w:r>
          </w:p>
        </w:tc>
        <w:tc>
          <w:tcPr>
            <w:tcW w:w="2376" w:type="dxa"/>
            <w:gridSpan w:val="2"/>
            <w:shd w:val="clear" w:color="auto" w:fill="auto"/>
          </w:tcPr>
          <w:p w:rsidR="00895A49" w:rsidRPr="00895A49" w:rsidRDefault="00895A49" w:rsidP="00895A49">
            <w:pPr>
              <w:widowControl w:val="0"/>
              <w:spacing w:after="0" w:line="240" w:lineRule="auto"/>
              <w:jc w:val="center"/>
              <w:rPr>
                <w:rFonts w:ascii="Times New Roman" w:hAnsi="Times New Roman" w:cs="Times New Roman"/>
                <w:b/>
                <w:sz w:val="24"/>
                <w:szCs w:val="24"/>
              </w:rPr>
            </w:pPr>
            <w:r w:rsidRPr="00895A49">
              <w:rPr>
                <w:rFonts w:ascii="Times New Roman" w:hAnsi="Times New Roman" w:cs="Times New Roman"/>
                <w:b/>
                <w:sz w:val="24"/>
                <w:szCs w:val="24"/>
              </w:rPr>
              <w:t>31.03.2021</w:t>
            </w:r>
          </w:p>
        </w:tc>
      </w:tr>
      <w:tr w:rsidR="00895A49" w:rsidRPr="00895A49" w:rsidTr="00410EA4">
        <w:tc>
          <w:tcPr>
            <w:tcW w:w="5070" w:type="dxa"/>
            <w:vMerge/>
            <w:tcBorders>
              <w:bottom w:val="single" w:sz="4" w:space="0" w:color="auto"/>
            </w:tcBorders>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p>
        </w:tc>
        <w:tc>
          <w:tcPr>
            <w:tcW w:w="1275" w:type="dxa"/>
            <w:tcBorders>
              <w:bottom w:val="single" w:sz="4" w:space="0" w:color="auto"/>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тис. </w:t>
            </w:r>
            <w:proofErr w:type="spellStart"/>
            <w:r w:rsidRPr="00895A49">
              <w:rPr>
                <w:rFonts w:ascii="Times New Roman" w:hAnsi="Times New Roman" w:cs="Times New Roman"/>
                <w:sz w:val="24"/>
                <w:szCs w:val="24"/>
              </w:rPr>
              <w:t>грн</w:t>
            </w:r>
            <w:proofErr w:type="spellEnd"/>
          </w:p>
        </w:tc>
        <w:tc>
          <w:tcPr>
            <w:tcW w:w="1276" w:type="dxa"/>
            <w:tcBorders>
              <w:bottom w:val="single" w:sz="4" w:space="0" w:color="auto"/>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частка в СК</w:t>
            </w:r>
          </w:p>
        </w:tc>
        <w:tc>
          <w:tcPr>
            <w:tcW w:w="1276" w:type="dxa"/>
            <w:tcBorders>
              <w:bottom w:val="single" w:sz="4" w:space="0" w:color="auto"/>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тис. </w:t>
            </w:r>
            <w:proofErr w:type="spellStart"/>
            <w:r w:rsidRPr="00895A49">
              <w:rPr>
                <w:rFonts w:ascii="Times New Roman" w:hAnsi="Times New Roman" w:cs="Times New Roman"/>
                <w:sz w:val="24"/>
                <w:szCs w:val="24"/>
              </w:rPr>
              <w:t>грн</w:t>
            </w:r>
            <w:proofErr w:type="spellEnd"/>
          </w:p>
        </w:tc>
        <w:tc>
          <w:tcPr>
            <w:tcW w:w="1100" w:type="dxa"/>
            <w:tcBorders>
              <w:bottom w:val="single" w:sz="4" w:space="0" w:color="auto"/>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частка в СК</w:t>
            </w:r>
          </w:p>
        </w:tc>
      </w:tr>
      <w:tr w:rsidR="00895A49" w:rsidRPr="00895A49" w:rsidTr="00410EA4">
        <w:tc>
          <w:tcPr>
            <w:tcW w:w="5070" w:type="dxa"/>
            <w:tcBorders>
              <w:top w:val="single" w:sz="4" w:space="0" w:color="auto"/>
            </w:tcBorders>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proofErr w:type="spellStart"/>
            <w:r w:rsidRPr="00895A49">
              <w:rPr>
                <w:rFonts w:ascii="Times New Roman" w:hAnsi="Times New Roman" w:cs="Times New Roman"/>
                <w:sz w:val="24"/>
                <w:szCs w:val="24"/>
              </w:rPr>
              <w:t>Яцько</w:t>
            </w:r>
            <w:proofErr w:type="spellEnd"/>
            <w:r w:rsidRPr="00895A49">
              <w:rPr>
                <w:rFonts w:ascii="Times New Roman" w:hAnsi="Times New Roman" w:cs="Times New Roman"/>
                <w:sz w:val="24"/>
                <w:szCs w:val="24"/>
              </w:rPr>
              <w:t xml:space="preserve"> В.В.</w:t>
            </w:r>
          </w:p>
        </w:tc>
        <w:tc>
          <w:tcPr>
            <w:tcW w:w="1275" w:type="dxa"/>
            <w:tcBorders>
              <w:top w:val="single" w:sz="4" w:space="0" w:color="auto"/>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5 400</w:t>
            </w:r>
          </w:p>
        </w:tc>
        <w:tc>
          <w:tcPr>
            <w:tcW w:w="1276" w:type="dxa"/>
            <w:tcBorders>
              <w:top w:val="single" w:sz="4" w:space="0" w:color="auto"/>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45%</w:t>
            </w:r>
          </w:p>
        </w:tc>
        <w:tc>
          <w:tcPr>
            <w:tcW w:w="1276" w:type="dxa"/>
            <w:tcBorders>
              <w:top w:val="single" w:sz="4" w:space="0" w:color="auto"/>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5 400</w:t>
            </w:r>
          </w:p>
        </w:tc>
        <w:tc>
          <w:tcPr>
            <w:tcW w:w="1100" w:type="dxa"/>
            <w:tcBorders>
              <w:top w:val="single" w:sz="4" w:space="0" w:color="auto"/>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45%</w:t>
            </w:r>
          </w:p>
        </w:tc>
      </w:tr>
      <w:tr w:rsidR="00895A49" w:rsidRPr="00895A49" w:rsidTr="00410EA4">
        <w:tc>
          <w:tcPr>
            <w:tcW w:w="5070" w:type="dxa"/>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proofErr w:type="spellStart"/>
            <w:r w:rsidRPr="00895A49">
              <w:rPr>
                <w:rFonts w:ascii="Times New Roman" w:hAnsi="Times New Roman" w:cs="Times New Roman"/>
                <w:sz w:val="24"/>
                <w:szCs w:val="24"/>
              </w:rPr>
              <w:t>Гаманков</w:t>
            </w:r>
            <w:proofErr w:type="spellEnd"/>
            <w:r w:rsidRPr="00895A49">
              <w:rPr>
                <w:rFonts w:ascii="Times New Roman" w:hAnsi="Times New Roman" w:cs="Times New Roman"/>
                <w:sz w:val="24"/>
                <w:szCs w:val="24"/>
              </w:rPr>
              <w:t xml:space="preserve"> В.І.     </w:t>
            </w:r>
          </w:p>
        </w:tc>
        <w:tc>
          <w:tcPr>
            <w:tcW w:w="1275"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2 400</w:t>
            </w:r>
          </w:p>
        </w:tc>
        <w:tc>
          <w:tcPr>
            <w:tcW w:w="1276"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20%</w:t>
            </w:r>
          </w:p>
        </w:tc>
        <w:tc>
          <w:tcPr>
            <w:tcW w:w="1276"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2 400</w:t>
            </w:r>
          </w:p>
        </w:tc>
        <w:tc>
          <w:tcPr>
            <w:tcW w:w="1100"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20%</w:t>
            </w:r>
          </w:p>
        </w:tc>
      </w:tr>
      <w:tr w:rsidR="00895A49" w:rsidRPr="00895A49" w:rsidTr="00410EA4">
        <w:tc>
          <w:tcPr>
            <w:tcW w:w="5070" w:type="dxa"/>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proofErr w:type="spellStart"/>
            <w:r w:rsidRPr="00895A49">
              <w:rPr>
                <w:rFonts w:ascii="Times New Roman" w:hAnsi="Times New Roman" w:cs="Times New Roman"/>
                <w:sz w:val="24"/>
                <w:szCs w:val="24"/>
              </w:rPr>
              <w:t>Гладуш</w:t>
            </w:r>
            <w:proofErr w:type="spellEnd"/>
            <w:r w:rsidRPr="00895A49">
              <w:rPr>
                <w:rFonts w:ascii="Times New Roman" w:hAnsi="Times New Roman" w:cs="Times New Roman"/>
                <w:sz w:val="24"/>
                <w:szCs w:val="24"/>
              </w:rPr>
              <w:t xml:space="preserve"> Я.В.</w:t>
            </w:r>
          </w:p>
        </w:tc>
        <w:tc>
          <w:tcPr>
            <w:tcW w:w="1275"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2 160</w:t>
            </w:r>
          </w:p>
        </w:tc>
        <w:tc>
          <w:tcPr>
            <w:tcW w:w="1276"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18%</w:t>
            </w:r>
          </w:p>
        </w:tc>
        <w:tc>
          <w:tcPr>
            <w:tcW w:w="1276"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1 080</w:t>
            </w:r>
          </w:p>
        </w:tc>
        <w:tc>
          <w:tcPr>
            <w:tcW w:w="1100"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9%</w:t>
            </w:r>
          </w:p>
        </w:tc>
      </w:tr>
      <w:tr w:rsidR="00895A49" w:rsidRPr="00895A49" w:rsidTr="00410EA4">
        <w:tc>
          <w:tcPr>
            <w:tcW w:w="5070" w:type="dxa"/>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Гусєва І.О.</w:t>
            </w:r>
          </w:p>
        </w:tc>
        <w:tc>
          <w:tcPr>
            <w:tcW w:w="1275"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1 200</w:t>
            </w:r>
          </w:p>
        </w:tc>
        <w:tc>
          <w:tcPr>
            <w:tcW w:w="1276"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w:t>
            </w:r>
          </w:p>
        </w:tc>
        <w:tc>
          <w:tcPr>
            <w:tcW w:w="1276"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1 200</w:t>
            </w:r>
          </w:p>
        </w:tc>
        <w:tc>
          <w:tcPr>
            <w:tcW w:w="1100"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w:t>
            </w:r>
          </w:p>
        </w:tc>
      </w:tr>
      <w:tr w:rsidR="00895A49" w:rsidRPr="00895A49" w:rsidTr="00410EA4">
        <w:tc>
          <w:tcPr>
            <w:tcW w:w="5070" w:type="dxa"/>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Інші фізичні особи з часткою до 10%</w:t>
            </w:r>
          </w:p>
        </w:tc>
        <w:tc>
          <w:tcPr>
            <w:tcW w:w="1275"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840</w:t>
            </w:r>
          </w:p>
        </w:tc>
        <w:tc>
          <w:tcPr>
            <w:tcW w:w="1276"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7%</w:t>
            </w:r>
          </w:p>
        </w:tc>
        <w:tc>
          <w:tcPr>
            <w:tcW w:w="1276"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1 920</w:t>
            </w:r>
          </w:p>
        </w:tc>
        <w:tc>
          <w:tcPr>
            <w:tcW w:w="1100" w:type="dxa"/>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16%</w:t>
            </w:r>
          </w:p>
        </w:tc>
      </w:tr>
      <w:tr w:rsidR="00895A49" w:rsidRPr="00895A49" w:rsidTr="00410EA4">
        <w:tc>
          <w:tcPr>
            <w:tcW w:w="5070" w:type="dxa"/>
            <w:tcBorders>
              <w:top w:val="single" w:sz="4" w:space="0" w:color="auto"/>
            </w:tcBorders>
            <w:shd w:val="clear" w:color="auto" w:fill="auto"/>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Всього</w:t>
            </w:r>
          </w:p>
        </w:tc>
        <w:tc>
          <w:tcPr>
            <w:tcW w:w="1275" w:type="dxa"/>
            <w:tcBorders>
              <w:top w:val="single" w:sz="4" w:space="0" w:color="auto"/>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12 000</w:t>
            </w:r>
          </w:p>
        </w:tc>
        <w:tc>
          <w:tcPr>
            <w:tcW w:w="1276" w:type="dxa"/>
            <w:tcBorders>
              <w:top w:val="single" w:sz="4" w:space="0" w:color="auto"/>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100%</w:t>
            </w:r>
          </w:p>
        </w:tc>
        <w:tc>
          <w:tcPr>
            <w:tcW w:w="1276" w:type="dxa"/>
            <w:tcBorders>
              <w:top w:val="single" w:sz="4" w:space="0" w:color="auto"/>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12 000</w:t>
            </w:r>
          </w:p>
        </w:tc>
        <w:tc>
          <w:tcPr>
            <w:tcW w:w="1100" w:type="dxa"/>
            <w:tcBorders>
              <w:top w:val="single" w:sz="4" w:space="0" w:color="auto"/>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100%</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Власники звичайних акцій мають право на одержання дивідендів у міру їх оголошення, а також мають право одного голосу на акцію на річних і позачергових загальних зборах акціонерів Компанії.</w:t>
      </w:r>
    </w:p>
    <w:p w:rsidR="00895A49" w:rsidRPr="00895A49" w:rsidRDefault="00895A49" w:rsidP="00895A49">
      <w:pPr>
        <w:widowControl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 xml:space="preserve">Розмір дивідендів, що можуть бути виплачені, обмежуються сумою нерозподіленого прибутку Компанії, відображеного у даній звітності.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Компанія формує резервний капітал у розмірі 25% статутного капіталу. Резервний капітал формується шляхом щорічних відрахувань від чистого прибутку або за рахунок нерозподіленого прибутку. До досягнення встановленого розміру резервного капіталу розмір щорічних відрахувань не може бути меншим ніж 5 відсотків чистого прибутку Компанії. На 31березня2022 року резервний капітал сформований у повному обсязі і становить 3 000 тис. грн. (на 31 березня 2021 року  - 3 000 тис. грн.).</w:t>
      </w:r>
    </w:p>
    <w:p w:rsidR="00895A49" w:rsidRPr="00895A49" w:rsidRDefault="00895A49" w:rsidP="00895A49">
      <w:pPr>
        <w:widowControl w:val="0"/>
        <w:spacing w:after="0" w:line="240" w:lineRule="auto"/>
        <w:jc w:val="both"/>
        <w:rPr>
          <w:rFonts w:ascii="Times New Roman" w:eastAsia="Calibri" w:hAnsi="Times New Roman" w:cs="Times New Roman"/>
          <w:sz w:val="24"/>
          <w:szCs w:val="24"/>
          <w:lang w:eastAsia="en-US"/>
        </w:rPr>
      </w:pPr>
      <w:r w:rsidRPr="00895A49">
        <w:rPr>
          <w:rFonts w:ascii="Times New Roman" w:hAnsi="Times New Roman" w:cs="Times New Roman"/>
          <w:sz w:val="24"/>
          <w:szCs w:val="24"/>
        </w:rPr>
        <w:t>До складу власного капіталу включено капітал у дооцінках</w:t>
      </w:r>
      <w:r w:rsidR="006D4FEE">
        <w:rPr>
          <w:rFonts w:ascii="Times New Roman" w:hAnsi="Times New Roman" w:cs="Times New Roman"/>
          <w:sz w:val="24"/>
          <w:szCs w:val="24"/>
        </w:rPr>
        <w:t xml:space="preserve"> </w:t>
      </w:r>
      <w:r w:rsidRPr="00895A49">
        <w:rPr>
          <w:rFonts w:ascii="Times New Roman" w:hAnsi="Times New Roman" w:cs="Times New Roman"/>
          <w:sz w:val="24"/>
          <w:szCs w:val="24"/>
        </w:rPr>
        <w:t xml:space="preserve">у сумі 3 534 тис. грн. станом на 31.03.2022 р. (3 327тис. грн. на 31.03.2021 р.). </w:t>
      </w:r>
    </w:p>
    <w:p w:rsidR="00895A49" w:rsidRPr="00895A49" w:rsidRDefault="00895A49" w:rsidP="00895A49">
      <w:pPr>
        <w:widowControl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У першому кварталі 2022року Товариством одержано збиток  в сумі  183 тис. грн. (у першому кварталі 2021 року–збиток537 тис. грн.)</w:t>
      </w:r>
    </w:p>
    <w:p w:rsidR="00895A49" w:rsidRPr="00895A49" w:rsidRDefault="00895A49" w:rsidP="00895A49">
      <w:pPr>
        <w:widowControl w:val="0"/>
        <w:spacing w:after="0" w:line="240" w:lineRule="auto"/>
        <w:jc w:val="both"/>
        <w:rPr>
          <w:rFonts w:ascii="Times New Roman" w:hAnsi="Times New Roman" w:cs="Times New Roman"/>
          <w:sz w:val="24"/>
          <w:szCs w:val="24"/>
          <w:lang w:eastAsia="ru-RU"/>
        </w:rPr>
      </w:pPr>
      <w:r w:rsidRPr="00895A49">
        <w:rPr>
          <w:rFonts w:ascii="Times New Roman" w:hAnsi="Times New Roman" w:cs="Times New Roman"/>
          <w:sz w:val="24"/>
          <w:szCs w:val="24"/>
          <w:lang w:eastAsia="ru-RU"/>
        </w:rPr>
        <w:t>Облік нерозподіленого прибутку здійснюється відповідно до чинного законодавства і на 31.03.2022 року його розмір складає 18 490 тис грн. (на 31.03.2021 року – 19 930тис. грн.).</w:t>
      </w:r>
    </w:p>
    <w:p w:rsidR="00895A49" w:rsidRPr="00895A49" w:rsidRDefault="00895A49" w:rsidP="00895A49">
      <w:pPr>
        <w:pStyle w:val="af6"/>
        <w:widowControl w:val="0"/>
        <w:spacing w:before="0" w:beforeAutospacing="0" w:after="0" w:afterAutospacing="0"/>
        <w:jc w:val="both"/>
        <w:rPr>
          <w:lang w:val="uk-UA"/>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b/>
          <w:i/>
          <w:sz w:val="24"/>
          <w:szCs w:val="24"/>
        </w:rPr>
        <w:t>5.8 Страхові резерви (рр. 1180, 1530)</w:t>
      </w:r>
    </w:p>
    <w:p w:rsidR="00895A49" w:rsidRPr="00895A49" w:rsidRDefault="00895A49" w:rsidP="00895A49">
      <w:pPr>
        <w:widowControl w:val="0"/>
        <w:spacing w:after="0" w:line="240" w:lineRule="auto"/>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Страхові резерви узагальнено таким чином:</w:t>
      </w:r>
    </w:p>
    <w:p w:rsidR="00895A49" w:rsidRPr="00895A49" w:rsidRDefault="00895A49" w:rsidP="00895A49">
      <w:pPr>
        <w:widowControl w:val="0"/>
        <w:spacing w:after="0" w:line="240" w:lineRule="auto"/>
        <w:jc w:val="both"/>
        <w:rPr>
          <w:rFonts w:ascii="Times New Roman" w:hAnsi="Times New Roman" w:cs="Times New Roman"/>
          <w:i/>
          <w:sz w:val="24"/>
          <w:szCs w:val="24"/>
        </w:rPr>
      </w:pPr>
    </w:p>
    <w:tbl>
      <w:tblPr>
        <w:tblW w:w="9781" w:type="dxa"/>
        <w:tblInd w:w="108" w:type="dxa"/>
        <w:tblLook w:val="04A0"/>
      </w:tblPr>
      <w:tblGrid>
        <w:gridCol w:w="4678"/>
        <w:gridCol w:w="1252"/>
        <w:gridCol w:w="2124"/>
        <w:gridCol w:w="1727"/>
      </w:tblGrid>
      <w:tr w:rsidR="00895A49" w:rsidRPr="00895A49" w:rsidTr="00410EA4">
        <w:trPr>
          <w:trHeight w:val="636"/>
        </w:trPr>
        <w:tc>
          <w:tcPr>
            <w:tcW w:w="4678" w:type="dxa"/>
            <w:tcBorders>
              <w:top w:val="nil"/>
              <w:left w:val="nil"/>
              <w:bottom w:val="single" w:sz="8" w:space="0" w:color="auto"/>
              <w:right w:val="nil"/>
            </w:tcBorders>
            <w:shd w:val="clear" w:color="auto" w:fill="auto"/>
            <w:noWrap/>
            <w:vAlign w:val="center"/>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 </w:t>
            </w:r>
          </w:p>
        </w:tc>
        <w:tc>
          <w:tcPr>
            <w:tcW w:w="1252"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Загальна сума</w:t>
            </w:r>
          </w:p>
        </w:tc>
        <w:tc>
          <w:tcPr>
            <w:tcW w:w="2124"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Перестрахування</w:t>
            </w:r>
          </w:p>
        </w:tc>
        <w:tc>
          <w:tcPr>
            <w:tcW w:w="1727"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Чиста сума</w:t>
            </w:r>
          </w:p>
        </w:tc>
      </w:tr>
      <w:tr w:rsidR="00895A49" w:rsidRPr="00895A49" w:rsidTr="00410EA4">
        <w:trPr>
          <w:trHeight w:val="300"/>
        </w:trPr>
        <w:tc>
          <w:tcPr>
            <w:tcW w:w="467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 xml:space="preserve"> на 31 березня 2022 р. </w:t>
            </w:r>
          </w:p>
        </w:tc>
        <w:tc>
          <w:tcPr>
            <w:tcW w:w="1252" w:type="dxa"/>
            <w:tcBorders>
              <w:top w:val="nil"/>
              <w:left w:val="nil"/>
              <w:bottom w:val="nil"/>
              <w:right w:val="nil"/>
            </w:tcBorders>
            <w:shd w:val="clear" w:color="auto" w:fill="auto"/>
            <w:vAlign w:val="bottom"/>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15769</w:t>
            </w:r>
          </w:p>
        </w:tc>
        <w:tc>
          <w:tcPr>
            <w:tcW w:w="2124" w:type="dxa"/>
            <w:tcBorders>
              <w:top w:val="nil"/>
              <w:left w:val="nil"/>
              <w:bottom w:val="nil"/>
              <w:right w:val="nil"/>
            </w:tcBorders>
            <w:shd w:val="clear" w:color="auto" w:fill="auto"/>
            <w:vAlign w:val="bottom"/>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(700)</w:t>
            </w:r>
          </w:p>
        </w:tc>
        <w:tc>
          <w:tcPr>
            <w:tcW w:w="1727" w:type="dxa"/>
            <w:tcBorders>
              <w:top w:val="nil"/>
              <w:left w:val="nil"/>
              <w:bottom w:val="nil"/>
              <w:right w:val="nil"/>
            </w:tcBorders>
            <w:shd w:val="clear" w:color="auto" w:fill="auto"/>
            <w:vAlign w:val="bottom"/>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15069</w:t>
            </w:r>
          </w:p>
        </w:tc>
      </w:tr>
      <w:tr w:rsidR="00895A49" w:rsidRPr="00895A49" w:rsidTr="00410EA4">
        <w:trPr>
          <w:trHeight w:val="312"/>
        </w:trPr>
        <w:tc>
          <w:tcPr>
            <w:tcW w:w="467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Резерв незароблених премій (РНП)</w:t>
            </w:r>
          </w:p>
        </w:tc>
        <w:tc>
          <w:tcPr>
            <w:tcW w:w="1252" w:type="dxa"/>
            <w:tcBorders>
              <w:top w:val="nil"/>
              <w:left w:val="nil"/>
              <w:bottom w:val="nil"/>
              <w:right w:val="nil"/>
            </w:tcBorders>
            <w:shd w:val="clear" w:color="auto" w:fill="auto"/>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1449</w:t>
            </w:r>
          </w:p>
        </w:tc>
        <w:tc>
          <w:tcPr>
            <w:tcW w:w="2124" w:type="dxa"/>
            <w:tcBorders>
              <w:top w:val="nil"/>
              <w:left w:val="nil"/>
              <w:bottom w:val="nil"/>
              <w:right w:val="nil"/>
            </w:tcBorders>
            <w:shd w:val="clear" w:color="auto" w:fill="auto"/>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(700)</w:t>
            </w:r>
          </w:p>
        </w:tc>
        <w:tc>
          <w:tcPr>
            <w:tcW w:w="1727" w:type="dxa"/>
            <w:tcBorders>
              <w:top w:val="nil"/>
              <w:left w:val="nil"/>
              <w:bottom w:val="nil"/>
              <w:right w:val="nil"/>
            </w:tcBorders>
            <w:shd w:val="clear" w:color="auto" w:fill="auto"/>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749</w:t>
            </w:r>
          </w:p>
        </w:tc>
      </w:tr>
      <w:tr w:rsidR="00895A49" w:rsidRPr="00895A49" w:rsidTr="00410EA4">
        <w:trPr>
          <w:trHeight w:val="312"/>
        </w:trPr>
        <w:tc>
          <w:tcPr>
            <w:tcW w:w="467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Резерв заявлених, але невиплачених збитків (РЗНЗ)</w:t>
            </w:r>
          </w:p>
        </w:tc>
        <w:tc>
          <w:tcPr>
            <w:tcW w:w="1252" w:type="dxa"/>
            <w:tcBorders>
              <w:top w:val="nil"/>
              <w:left w:val="nil"/>
              <w:bottom w:val="nil"/>
              <w:right w:val="nil"/>
            </w:tcBorders>
            <w:shd w:val="clear" w:color="auto" w:fill="auto"/>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14 320</w:t>
            </w:r>
          </w:p>
        </w:tc>
        <w:tc>
          <w:tcPr>
            <w:tcW w:w="2124" w:type="dxa"/>
            <w:tcBorders>
              <w:top w:val="nil"/>
              <w:left w:val="nil"/>
              <w:bottom w:val="nil"/>
              <w:right w:val="nil"/>
            </w:tcBorders>
            <w:shd w:val="clear" w:color="auto" w:fill="auto"/>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727" w:type="dxa"/>
            <w:tcBorders>
              <w:top w:val="nil"/>
              <w:left w:val="nil"/>
              <w:bottom w:val="nil"/>
              <w:right w:val="nil"/>
            </w:tcBorders>
            <w:shd w:val="clear" w:color="auto" w:fill="auto"/>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14 320</w:t>
            </w:r>
          </w:p>
        </w:tc>
      </w:tr>
      <w:tr w:rsidR="00895A49" w:rsidRPr="00895A49" w:rsidTr="00410EA4">
        <w:trPr>
          <w:trHeight w:val="312"/>
        </w:trPr>
        <w:tc>
          <w:tcPr>
            <w:tcW w:w="467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252"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2124"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727"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trHeight w:val="300"/>
        </w:trPr>
        <w:tc>
          <w:tcPr>
            <w:tcW w:w="467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 xml:space="preserve"> на 31 березня 2021 р. </w:t>
            </w:r>
          </w:p>
        </w:tc>
        <w:tc>
          <w:tcPr>
            <w:tcW w:w="1252"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 xml:space="preserve">     16605</w:t>
            </w:r>
          </w:p>
        </w:tc>
        <w:tc>
          <w:tcPr>
            <w:tcW w:w="2124"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(1 183)</w:t>
            </w:r>
          </w:p>
        </w:tc>
        <w:tc>
          <w:tcPr>
            <w:tcW w:w="1727"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 xml:space="preserve">        15442</w:t>
            </w:r>
          </w:p>
        </w:tc>
      </w:tr>
      <w:tr w:rsidR="00895A49" w:rsidRPr="00895A49" w:rsidTr="00410EA4">
        <w:trPr>
          <w:trHeight w:val="312"/>
        </w:trPr>
        <w:tc>
          <w:tcPr>
            <w:tcW w:w="467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Резерв незароблених премій (РНП)</w:t>
            </w:r>
          </w:p>
        </w:tc>
        <w:tc>
          <w:tcPr>
            <w:tcW w:w="1252"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2526</w:t>
            </w:r>
          </w:p>
        </w:tc>
        <w:tc>
          <w:tcPr>
            <w:tcW w:w="2124"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(1 158)</w:t>
            </w:r>
          </w:p>
        </w:tc>
        <w:tc>
          <w:tcPr>
            <w:tcW w:w="1727"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1368</w:t>
            </w:r>
          </w:p>
        </w:tc>
      </w:tr>
      <w:tr w:rsidR="00895A49" w:rsidRPr="00895A49" w:rsidTr="00410EA4">
        <w:trPr>
          <w:trHeight w:val="312"/>
        </w:trPr>
        <w:tc>
          <w:tcPr>
            <w:tcW w:w="4678"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highlight w:val="yellow"/>
              </w:rPr>
            </w:pPr>
            <w:r w:rsidRPr="00895A49">
              <w:rPr>
                <w:rFonts w:ascii="Times New Roman" w:hAnsi="Times New Roman" w:cs="Times New Roman"/>
                <w:sz w:val="24"/>
                <w:szCs w:val="24"/>
              </w:rPr>
              <w:t>Резерв заявлених, але невиплачених збитків (РЗНЗ)</w:t>
            </w:r>
          </w:p>
        </w:tc>
        <w:tc>
          <w:tcPr>
            <w:tcW w:w="1252"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14079</w:t>
            </w:r>
          </w:p>
        </w:tc>
        <w:tc>
          <w:tcPr>
            <w:tcW w:w="2124"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(25)</w:t>
            </w:r>
          </w:p>
        </w:tc>
        <w:tc>
          <w:tcPr>
            <w:tcW w:w="1727"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14054</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У відповідності до стандарту МСФЗ 4 п. 15 станом на 31 березня 2022 р. проведений тест адекватності страхових зобов’язань. Тест проводився до резерву заявлених, але невиплачених збитків,сформованого станом на звітну дату, без урахування перестрахування. Тестування проводиться за допомогою використання загальноприйнятих </w:t>
      </w:r>
      <w:proofErr w:type="spellStart"/>
      <w:r w:rsidRPr="00895A49">
        <w:rPr>
          <w:rFonts w:ascii="Times New Roman" w:hAnsi="Times New Roman" w:cs="Times New Roman"/>
          <w:sz w:val="24"/>
          <w:szCs w:val="24"/>
        </w:rPr>
        <w:t>актуарних</w:t>
      </w:r>
      <w:proofErr w:type="spellEnd"/>
      <w:r w:rsidRPr="00895A49">
        <w:rPr>
          <w:rFonts w:ascii="Times New Roman" w:hAnsi="Times New Roman" w:cs="Times New Roman"/>
          <w:sz w:val="24"/>
          <w:szCs w:val="24"/>
        </w:rPr>
        <w:t xml:space="preserve"> методів.  Тест показує достатність резервів збитку для покриття майбутніх грошових виплат.</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Згідно висновку актуарія, який має право займатися </w:t>
      </w:r>
      <w:proofErr w:type="spellStart"/>
      <w:r w:rsidRPr="00895A49">
        <w:rPr>
          <w:rFonts w:ascii="Times New Roman" w:hAnsi="Times New Roman" w:cs="Times New Roman"/>
          <w:sz w:val="24"/>
          <w:szCs w:val="24"/>
        </w:rPr>
        <w:t>актуарними</w:t>
      </w:r>
      <w:proofErr w:type="spellEnd"/>
      <w:r w:rsidRPr="00895A49">
        <w:rPr>
          <w:rFonts w:ascii="Times New Roman" w:hAnsi="Times New Roman" w:cs="Times New Roman"/>
          <w:sz w:val="24"/>
          <w:szCs w:val="24"/>
        </w:rPr>
        <w:t xml:space="preserve"> розрахунками з видів страхування, інших, ніж страхування життя, та посвідчувати їх, резерв незароблених премій, сформований на 31.03.2022 року є достатнім для покриття майбутніх страхових зобов’язань за діючим на звітну дату портфелем договорів страхування і формування додаткового резерву не потрібно.  </w:t>
      </w:r>
    </w:p>
    <w:p w:rsidR="00895A49" w:rsidRPr="00895A49" w:rsidRDefault="00895A49" w:rsidP="00895A49">
      <w:pPr>
        <w:pStyle w:val="Default"/>
        <w:widowControl w:val="0"/>
        <w:jc w:val="both"/>
        <w:rPr>
          <w:rFonts w:ascii="Times New Roman" w:hAnsi="Times New Roman" w:cs="Times New Roman"/>
          <w:i/>
          <w:color w:val="auto"/>
          <w:lang w:val="uk-UA" w:eastAsia="uk-UA"/>
        </w:rPr>
      </w:pPr>
      <w:r w:rsidRPr="00895A49">
        <w:rPr>
          <w:rFonts w:ascii="Times New Roman" w:hAnsi="Times New Roman" w:cs="Times New Roman"/>
          <w:i/>
          <w:color w:val="auto"/>
          <w:lang w:val="uk-UA" w:eastAsia="uk-UA"/>
        </w:rPr>
        <w:t xml:space="preserve">Припущення та чутливість загального страхування </w:t>
      </w:r>
    </w:p>
    <w:p w:rsidR="00895A49" w:rsidRPr="00895A49" w:rsidRDefault="00895A49" w:rsidP="00895A49">
      <w:pPr>
        <w:pStyle w:val="Default"/>
        <w:widowControl w:val="0"/>
        <w:jc w:val="both"/>
        <w:rPr>
          <w:rFonts w:ascii="Times New Roman" w:hAnsi="Times New Roman" w:cs="Times New Roman"/>
          <w:i/>
          <w:color w:val="auto"/>
          <w:lang w:val="uk-UA" w:eastAsia="uk-UA"/>
        </w:rPr>
      </w:pPr>
      <w:r w:rsidRPr="00895A49">
        <w:rPr>
          <w:rFonts w:ascii="Times New Roman" w:hAnsi="Times New Roman" w:cs="Times New Roman"/>
          <w:i/>
          <w:color w:val="auto"/>
          <w:lang w:val="uk-UA" w:eastAsia="uk-UA"/>
        </w:rPr>
        <w:t xml:space="preserve">Процес формування припущень </w:t>
      </w:r>
    </w:p>
    <w:p w:rsidR="00895A49" w:rsidRPr="00895A49" w:rsidRDefault="00895A49" w:rsidP="00895A49">
      <w:pPr>
        <w:pStyle w:val="Default"/>
        <w:widowControl w:val="0"/>
        <w:jc w:val="both"/>
        <w:rPr>
          <w:rFonts w:ascii="Times New Roman" w:hAnsi="Times New Roman" w:cs="Times New Roman"/>
          <w:color w:val="auto"/>
          <w:lang w:val="uk-UA" w:eastAsia="uk-UA"/>
        </w:rPr>
      </w:pPr>
      <w:r w:rsidRPr="00895A49">
        <w:rPr>
          <w:rFonts w:ascii="Times New Roman" w:hAnsi="Times New Roman" w:cs="Times New Roman"/>
          <w:color w:val="auto"/>
          <w:lang w:val="uk-UA" w:eastAsia="uk-UA"/>
        </w:rPr>
        <w:t xml:space="preserve">Припущення, що використовуються при оцінці страхових активів та страхових зобов’язань, повинні забезпечувати створення резервів, достатніх для покриття будь-яких зобов’язань, що виникають у зв’язку із страховими контрактами, наскільки це можна передбачити. Однак, зважаючи на існування невизначеності при створенні резерву збитків, остаточний результат, ймовірно, відрізнятиметься від зобов’язання, що було визначене спочатку. </w:t>
      </w:r>
    </w:p>
    <w:p w:rsidR="00895A49" w:rsidRPr="00895A49" w:rsidRDefault="00895A49" w:rsidP="00895A49">
      <w:pPr>
        <w:pStyle w:val="Default"/>
        <w:widowControl w:val="0"/>
        <w:jc w:val="both"/>
        <w:rPr>
          <w:rFonts w:ascii="Times New Roman" w:hAnsi="Times New Roman" w:cs="Times New Roman"/>
          <w:color w:val="auto"/>
          <w:lang w:val="uk-UA" w:eastAsia="uk-UA"/>
        </w:rPr>
      </w:pPr>
      <w:r w:rsidRPr="00895A49">
        <w:rPr>
          <w:rFonts w:ascii="Times New Roman" w:hAnsi="Times New Roman" w:cs="Times New Roman"/>
          <w:color w:val="auto"/>
          <w:lang w:val="uk-UA" w:eastAsia="uk-UA"/>
        </w:rPr>
        <w:t xml:space="preserve">Резерв створюється на звітну дату на основі очікуваної суми остаточних витрат на відшкодування всіх збитків, понесених у зв’язку з страховими випадками, що сталися до цієї дати, незалежно від того, чи були вони заявлені, чи ні, разом з відповідними зовнішніми витратами на врегулювання збитків, за вирахуванням уже виплачених сум. Резерв по збитках не дисконтується на вартість грошових коштів у часі. Дані, що використовуються для формування припущень, як правило, отримані із внутрішніх джерел Компанії, зокрема, це можуть бути результати детальних досліджень, що проводяться щонайменше один раз на рік. Припущення перевіряються на предмет їх відповідності наявній ринковій інформації чи будь-якій іншій інформації із загальних джерел. </w:t>
      </w:r>
    </w:p>
    <w:p w:rsidR="00895A49" w:rsidRPr="00895A49" w:rsidRDefault="00895A49" w:rsidP="00895A49">
      <w:pPr>
        <w:widowControl w:val="0"/>
        <w:spacing w:after="0" w:line="240" w:lineRule="auto"/>
        <w:jc w:val="both"/>
        <w:rPr>
          <w:rFonts w:ascii="Times New Roman" w:hAnsi="Times New Roman" w:cs="Times New Roman"/>
          <w:b/>
          <w:i/>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5.9   Поточні зобов’язання(рр.1615 – 1650)</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Страхова та інша кредиторська заборгованість представлена наступним чином:</w:t>
      </w:r>
    </w:p>
    <w:tbl>
      <w:tblPr>
        <w:tblW w:w="9796" w:type="dxa"/>
        <w:tblInd w:w="108" w:type="dxa"/>
        <w:tblLook w:val="04A0"/>
      </w:tblPr>
      <w:tblGrid>
        <w:gridCol w:w="6516"/>
        <w:gridCol w:w="1296"/>
        <w:gridCol w:w="1984"/>
      </w:tblGrid>
      <w:tr w:rsidR="00895A49" w:rsidRPr="00895A49" w:rsidTr="00410EA4">
        <w:trPr>
          <w:trHeight w:val="324"/>
        </w:trPr>
        <w:tc>
          <w:tcPr>
            <w:tcW w:w="6516"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w:t>
            </w:r>
          </w:p>
        </w:tc>
        <w:tc>
          <w:tcPr>
            <w:tcW w:w="1296"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984"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24"/>
        </w:trPr>
        <w:tc>
          <w:tcPr>
            <w:tcW w:w="6516"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i/>
                <w:iCs/>
                <w:sz w:val="24"/>
                <w:szCs w:val="24"/>
              </w:rPr>
            </w:pPr>
            <w:r w:rsidRPr="00895A49">
              <w:rPr>
                <w:rFonts w:ascii="Times New Roman" w:hAnsi="Times New Roman" w:cs="Times New Roman"/>
                <w:b/>
                <w:bCs/>
                <w:i/>
                <w:iCs/>
                <w:sz w:val="24"/>
                <w:szCs w:val="24"/>
              </w:rPr>
              <w:t>Страхова кредиторська заборгованість</w:t>
            </w:r>
          </w:p>
        </w:tc>
        <w:tc>
          <w:tcPr>
            <w:tcW w:w="1296"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984"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trHeight w:val="312"/>
        </w:trPr>
        <w:tc>
          <w:tcPr>
            <w:tcW w:w="6516"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lastRenderedPageBreak/>
              <w:t>Заборгованість перед перестраховиками</w:t>
            </w:r>
          </w:p>
        </w:tc>
        <w:tc>
          <w:tcPr>
            <w:tcW w:w="1296"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506</w:t>
            </w:r>
          </w:p>
        </w:tc>
        <w:tc>
          <w:tcPr>
            <w:tcW w:w="1984"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266</w:t>
            </w:r>
          </w:p>
        </w:tc>
      </w:tr>
      <w:tr w:rsidR="00895A49" w:rsidRPr="00895A49" w:rsidTr="00410EA4">
        <w:trPr>
          <w:trHeight w:val="312"/>
        </w:trPr>
        <w:tc>
          <w:tcPr>
            <w:tcW w:w="6516"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Заборгованість перед брокерами                               </w:t>
            </w:r>
          </w:p>
        </w:tc>
        <w:tc>
          <w:tcPr>
            <w:tcW w:w="1296"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145</w:t>
            </w:r>
          </w:p>
        </w:tc>
        <w:tc>
          <w:tcPr>
            <w:tcW w:w="1984"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75</w:t>
            </w:r>
          </w:p>
        </w:tc>
      </w:tr>
      <w:tr w:rsidR="00895A49" w:rsidRPr="00895A49" w:rsidTr="00410EA4">
        <w:trPr>
          <w:trHeight w:val="312"/>
        </w:trPr>
        <w:tc>
          <w:tcPr>
            <w:tcW w:w="6516"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Аванси отримані за страховою діяльністю               </w:t>
            </w:r>
          </w:p>
        </w:tc>
        <w:tc>
          <w:tcPr>
            <w:tcW w:w="1296" w:type="dxa"/>
            <w:tcBorders>
              <w:top w:val="nil"/>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984"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45</w:t>
            </w:r>
          </w:p>
        </w:tc>
      </w:tr>
      <w:tr w:rsidR="00895A49" w:rsidRPr="00895A49" w:rsidTr="00410EA4">
        <w:trPr>
          <w:trHeight w:val="312"/>
        </w:trPr>
        <w:tc>
          <w:tcPr>
            <w:tcW w:w="6516"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1296" w:type="dxa"/>
            <w:tcBorders>
              <w:top w:val="single" w:sz="4" w:space="0" w:color="auto"/>
              <w:left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651</w:t>
            </w:r>
          </w:p>
        </w:tc>
        <w:tc>
          <w:tcPr>
            <w:tcW w:w="1984"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386</w:t>
            </w:r>
          </w:p>
        </w:tc>
      </w:tr>
      <w:tr w:rsidR="00895A49" w:rsidRPr="00895A49" w:rsidTr="00410EA4">
        <w:trPr>
          <w:trHeight w:val="312"/>
        </w:trPr>
        <w:tc>
          <w:tcPr>
            <w:tcW w:w="6516" w:type="dxa"/>
            <w:tcBorders>
              <w:left w:val="nil"/>
              <w:bottom w:val="nil"/>
              <w:right w:val="nil"/>
            </w:tcBorders>
            <w:shd w:val="clear" w:color="auto" w:fill="auto"/>
            <w:vAlign w:val="center"/>
          </w:tcPr>
          <w:p w:rsidR="00895A49" w:rsidRPr="00895A49" w:rsidRDefault="00895A49" w:rsidP="00895A49">
            <w:pPr>
              <w:widowControl w:val="0"/>
              <w:spacing w:after="0" w:line="240" w:lineRule="auto"/>
              <w:jc w:val="both"/>
              <w:rPr>
                <w:rFonts w:ascii="Times New Roman" w:hAnsi="Times New Roman" w:cs="Times New Roman"/>
                <w:sz w:val="24"/>
                <w:szCs w:val="24"/>
              </w:rPr>
            </w:pPr>
          </w:p>
        </w:tc>
        <w:tc>
          <w:tcPr>
            <w:tcW w:w="1296" w:type="dxa"/>
            <w:tcBorders>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984" w:type="dxa"/>
            <w:tcBorders>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trHeight w:val="324"/>
        </w:trPr>
        <w:tc>
          <w:tcPr>
            <w:tcW w:w="6516"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both"/>
              <w:rPr>
                <w:rFonts w:ascii="Times New Roman" w:hAnsi="Times New Roman" w:cs="Times New Roman"/>
                <w:b/>
                <w:bCs/>
                <w:i/>
                <w:iCs/>
                <w:sz w:val="24"/>
                <w:szCs w:val="24"/>
              </w:rPr>
            </w:pPr>
            <w:r w:rsidRPr="00895A49">
              <w:rPr>
                <w:rFonts w:ascii="Times New Roman" w:hAnsi="Times New Roman" w:cs="Times New Roman"/>
                <w:b/>
                <w:bCs/>
                <w:i/>
                <w:iCs/>
                <w:sz w:val="24"/>
                <w:szCs w:val="24"/>
              </w:rPr>
              <w:t>Поточна кредиторська заборгованість</w:t>
            </w:r>
          </w:p>
        </w:tc>
        <w:tc>
          <w:tcPr>
            <w:tcW w:w="1296"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both"/>
              <w:rPr>
                <w:rFonts w:ascii="Times New Roman" w:hAnsi="Times New Roman" w:cs="Times New Roman"/>
                <w:b/>
                <w:bCs/>
                <w:i/>
                <w:iCs/>
                <w:sz w:val="24"/>
                <w:szCs w:val="24"/>
              </w:rPr>
            </w:pPr>
          </w:p>
        </w:tc>
        <w:tc>
          <w:tcPr>
            <w:tcW w:w="1984"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i/>
                <w:iCs/>
                <w:sz w:val="24"/>
                <w:szCs w:val="24"/>
              </w:rPr>
            </w:pPr>
          </w:p>
        </w:tc>
      </w:tr>
      <w:tr w:rsidR="00895A49" w:rsidRPr="00895A49" w:rsidTr="00410EA4">
        <w:trPr>
          <w:trHeight w:val="312"/>
        </w:trPr>
        <w:tc>
          <w:tcPr>
            <w:tcW w:w="6516"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Заборгованість за товари, роботи, послуги                      </w:t>
            </w:r>
          </w:p>
        </w:tc>
        <w:tc>
          <w:tcPr>
            <w:tcW w:w="1296"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w:t>
            </w:r>
          </w:p>
        </w:tc>
        <w:tc>
          <w:tcPr>
            <w:tcW w:w="1984"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12</w:t>
            </w:r>
          </w:p>
        </w:tc>
      </w:tr>
      <w:tr w:rsidR="00895A49" w:rsidRPr="00895A49" w:rsidTr="00410EA4">
        <w:trPr>
          <w:trHeight w:val="312"/>
        </w:trPr>
        <w:tc>
          <w:tcPr>
            <w:tcW w:w="6516"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Розрахунки з  бюджетом</w:t>
            </w:r>
          </w:p>
        </w:tc>
        <w:tc>
          <w:tcPr>
            <w:tcW w:w="1296"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7</w:t>
            </w:r>
          </w:p>
        </w:tc>
        <w:tc>
          <w:tcPr>
            <w:tcW w:w="1984" w:type="dxa"/>
            <w:tcBorders>
              <w:top w:val="nil"/>
              <w:left w:val="nil"/>
              <w:bottom w:val="nil"/>
              <w:right w:val="nil"/>
            </w:tcBorders>
            <w:shd w:val="clear" w:color="auto" w:fill="auto"/>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12"/>
        </w:trPr>
        <w:tc>
          <w:tcPr>
            <w:tcW w:w="6516"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Розрахунки з бюджетом  з податку на прибуток                                                   </w:t>
            </w:r>
          </w:p>
        </w:tc>
        <w:tc>
          <w:tcPr>
            <w:tcW w:w="1296" w:type="dxa"/>
            <w:tcBorders>
              <w:top w:val="nil"/>
              <w:left w:val="nil"/>
              <w:bottom w:val="single" w:sz="4" w:space="0" w:color="auto"/>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196</w:t>
            </w:r>
          </w:p>
        </w:tc>
        <w:tc>
          <w:tcPr>
            <w:tcW w:w="1984"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36</w:t>
            </w:r>
          </w:p>
        </w:tc>
      </w:tr>
      <w:tr w:rsidR="00895A49" w:rsidRPr="00895A49" w:rsidTr="00410EA4">
        <w:trPr>
          <w:trHeight w:val="312"/>
        </w:trPr>
        <w:tc>
          <w:tcPr>
            <w:tcW w:w="6516"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1296" w:type="dxa"/>
            <w:tcBorders>
              <w:top w:val="single" w:sz="4" w:space="0" w:color="auto"/>
              <w:left w:val="nil"/>
              <w:right w:val="nil"/>
            </w:tcBorders>
            <w:shd w:val="clear" w:color="auto" w:fill="auto"/>
            <w:vAlign w:val="center"/>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213</w:t>
            </w:r>
          </w:p>
        </w:tc>
        <w:tc>
          <w:tcPr>
            <w:tcW w:w="1984" w:type="dxa"/>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48</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i/>
          <w:sz w:val="24"/>
          <w:szCs w:val="24"/>
        </w:rPr>
      </w:pPr>
      <w:r w:rsidRPr="00895A49">
        <w:rPr>
          <w:rFonts w:ascii="Times New Roman" w:hAnsi="Times New Roman" w:cs="Times New Roman"/>
          <w:b/>
          <w:i/>
          <w:sz w:val="24"/>
          <w:szCs w:val="24"/>
        </w:rPr>
        <w:t>5.10   Поточні забезпечення (р. 1660)</w:t>
      </w:r>
    </w:p>
    <w:tbl>
      <w:tblPr>
        <w:tblW w:w="9781" w:type="dxa"/>
        <w:tblInd w:w="108" w:type="dxa"/>
        <w:tblLook w:val="04A0"/>
      </w:tblPr>
      <w:tblGrid>
        <w:gridCol w:w="6946"/>
        <w:gridCol w:w="1418"/>
        <w:gridCol w:w="1417"/>
      </w:tblGrid>
      <w:tr w:rsidR="00895A49" w:rsidRPr="00895A49" w:rsidTr="00410EA4">
        <w:trPr>
          <w:trHeight w:val="324"/>
        </w:trPr>
        <w:tc>
          <w:tcPr>
            <w:tcW w:w="6946"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w:t>
            </w:r>
          </w:p>
        </w:tc>
        <w:tc>
          <w:tcPr>
            <w:tcW w:w="1418"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417"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12"/>
        </w:trPr>
        <w:tc>
          <w:tcPr>
            <w:tcW w:w="6946" w:type="dxa"/>
            <w:tcBorders>
              <w:top w:val="nil"/>
              <w:left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Забезпечення виплат відпусток</w:t>
            </w:r>
          </w:p>
        </w:tc>
        <w:tc>
          <w:tcPr>
            <w:tcW w:w="1418" w:type="dxa"/>
            <w:tcBorders>
              <w:top w:val="nil"/>
              <w:left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377</w:t>
            </w:r>
          </w:p>
        </w:tc>
        <w:tc>
          <w:tcPr>
            <w:tcW w:w="1417" w:type="dxa"/>
            <w:tcBorders>
              <w:top w:val="nil"/>
              <w:left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361</w:t>
            </w:r>
          </w:p>
        </w:tc>
      </w:tr>
      <w:tr w:rsidR="00895A49" w:rsidRPr="00895A49" w:rsidTr="00410EA4">
        <w:trPr>
          <w:trHeight w:val="312"/>
        </w:trPr>
        <w:tc>
          <w:tcPr>
            <w:tcW w:w="6946" w:type="dxa"/>
            <w:tcBorders>
              <w:top w:val="nil"/>
              <w:left w:val="nil"/>
              <w:bottom w:val="single" w:sz="4" w:space="0" w:color="auto"/>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Забезпечення майбутніх витрат (витрати на проведення аудиту)</w:t>
            </w:r>
          </w:p>
        </w:tc>
        <w:tc>
          <w:tcPr>
            <w:tcW w:w="1418" w:type="dxa"/>
            <w:tcBorders>
              <w:top w:val="nil"/>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100</w:t>
            </w:r>
          </w:p>
        </w:tc>
        <w:tc>
          <w:tcPr>
            <w:tcW w:w="1417" w:type="dxa"/>
            <w:tcBorders>
              <w:top w:val="nil"/>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90</w:t>
            </w:r>
          </w:p>
        </w:tc>
      </w:tr>
      <w:tr w:rsidR="00895A49" w:rsidRPr="00895A49" w:rsidTr="00410EA4">
        <w:trPr>
          <w:trHeight w:val="312"/>
        </w:trPr>
        <w:tc>
          <w:tcPr>
            <w:tcW w:w="6946" w:type="dxa"/>
            <w:tcBorders>
              <w:top w:val="single" w:sz="4" w:space="0" w:color="auto"/>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b/>
                <w:sz w:val="24"/>
                <w:szCs w:val="24"/>
              </w:rPr>
            </w:pPr>
            <w:r w:rsidRPr="00895A49">
              <w:rPr>
                <w:rFonts w:ascii="Times New Roman" w:hAnsi="Times New Roman" w:cs="Times New Roman"/>
                <w:b/>
                <w:sz w:val="24"/>
                <w:szCs w:val="24"/>
              </w:rPr>
              <w:t xml:space="preserve">Всього                                                                                                                                        </w:t>
            </w:r>
          </w:p>
        </w:tc>
        <w:tc>
          <w:tcPr>
            <w:tcW w:w="1418" w:type="dxa"/>
            <w:tcBorders>
              <w:top w:val="single" w:sz="4" w:space="0" w:color="auto"/>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477</w:t>
            </w:r>
          </w:p>
        </w:tc>
        <w:tc>
          <w:tcPr>
            <w:tcW w:w="1417" w:type="dxa"/>
            <w:tcBorders>
              <w:top w:val="single" w:sz="4" w:space="0" w:color="auto"/>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451</w:t>
            </w:r>
          </w:p>
        </w:tc>
      </w:tr>
    </w:tbl>
    <w:p w:rsidR="00895A49" w:rsidRPr="00895A49" w:rsidRDefault="00895A49" w:rsidP="00895A49">
      <w:pPr>
        <w:pStyle w:val="af6"/>
        <w:widowControl w:val="0"/>
        <w:spacing w:before="0" w:beforeAutospacing="0" w:after="0" w:afterAutospacing="0"/>
        <w:jc w:val="both"/>
        <w:rPr>
          <w:lang w:val="uk-UA"/>
        </w:rPr>
      </w:pPr>
    </w:p>
    <w:p w:rsidR="00895A49" w:rsidRPr="00895A49" w:rsidRDefault="00895A49" w:rsidP="00895A49">
      <w:pPr>
        <w:widowControl w:val="0"/>
        <w:spacing w:after="0" w:line="240" w:lineRule="auto"/>
        <w:jc w:val="both"/>
        <w:rPr>
          <w:rFonts w:ascii="Times New Roman" w:hAnsi="Times New Roman" w:cs="Times New Roman"/>
          <w:b/>
          <w:sz w:val="24"/>
          <w:szCs w:val="24"/>
        </w:rPr>
      </w:pPr>
      <w:r w:rsidRPr="00895A49">
        <w:rPr>
          <w:rFonts w:ascii="Times New Roman" w:hAnsi="Times New Roman" w:cs="Times New Roman"/>
          <w:b/>
          <w:sz w:val="24"/>
          <w:szCs w:val="24"/>
        </w:rPr>
        <w:t>6.  Примітки до Звіту про фінансові результати (звіту про сукупний дохід)</w:t>
      </w:r>
    </w:p>
    <w:p w:rsidR="00895A49" w:rsidRPr="00895A49" w:rsidRDefault="00895A49" w:rsidP="00895A49">
      <w:pPr>
        <w:pStyle w:val="af6"/>
        <w:widowControl w:val="0"/>
        <w:spacing w:before="0" w:beforeAutospacing="0" w:after="0" w:afterAutospacing="0"/>
        <w:jc w:val="both"/>
        <w:rPr>
          <w:lang w:val="uk-UA"/>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6.1 Чисті зароблені страхові премії (р. 2010)</w:t>
      </w:r>
    </w:p>
    <w:p w:rsidR="00895A49" w:rsidRPr="00895A49" w:rsidRDefault="00895A49" w:rsidP="00895A49">
      <w:pPr>
        <w:widowControl w:val="0"/>
        <w:spacing w:after="0" w:line="240" w:lineRule="auto"/>
        <w:jc w:val="both"/>
        <w:rPr>
          <w:rFonts w:ascii="Times New Roman" w:hAnsi="Times New Roman" w:cs="Times New Roman"/>
          <w:i/>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Аналіз страхових премій за звітний період, представлений таким  чином:</w:t>
      </w:r>
    </w:p>
    <w:p w:rsidR="00895A49" w:rsidRPr="00895A49" w:rsidRDefault="00895A49" w:rsidP="00895A49">
      <w:pPr>
        <w:widowControl w:val="0"/>
        <w:spacing w:after="0" w:line="240" w:lineRule="auto"/>
        <w:jc w:val="both"/>
        <w:rPr>
          <w:rFonts w:ascii="Times New Roman" w:hAnsi="Times New Roman" w:cs="Times New Roman"/>
          <w:sz w:val="24"/>
          <w:szCs w:val="24"/>
        </w:rPr>
      </w:pPr>
    </w:p>
    <w:tbl>
      <w:tblPr>
        <w:tblW w:w="9369" w:type="dxa"/>
        <w:tblInd w:w="108" w:type="dxa"/>
        <w:tblLook w:val="04A0"/>
      </w:tblPr>
      <w:tblGrid>
        <w:gridCol w:w="5529"/>
        <w:gridCol w:w="1780"/>
        <w:gridCol w:w="2060"/>
      </w:tblGrid>
      <w:tr w:rsidR="00895A49" w:rsidRPr="00895A49" w:rsidTr="00410EA4">
        <w:trPr>
          <w:trHeight w:val="312"/>
          <w:tblHeader/>
        </w:trPr>
        <w:tc>
          <w:tcPr>
            <w:tcW w:w="5529"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w:t>
            </w:r>
          </w:p>
        </w:tc>
        <w:tc>
          <w:tcPr>
            <w:tcW w:w="1780"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2060"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12"/>
        </w:trPr>
        <w:tc>
          <w:tcPr>
            <w:tcW w:w="5529" w:type="dxa"/>
            <w:tcBorders>
              <w:top w:val="nil"/>
              <w:left w:val="nil"/>
              <w:bottom w:val="nil"/>
              <w:right w:val="nil"/>
            </w:tcBorders>
            <w:shd w:val="clear" w:color="auto" w:fill="auto"/>
            <w:noWrap/>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Страхові премії</w:t>
            </w:r>
          </w:p>
        </w:tc>
        <w:tc>
          <w:tcPr>
            <w:tcW w:w="1780" w:type="dxa"/>
            <w:tcBorders>
              <w:top w:val="nil"/>
              <w:left w:val="nil"/>
              <w:bottom w:val="nil"/>
              <w:right w:val="nil"/>
            </w:tcBorders>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202</w:t>
            </w:r>
          </w:p>
        </w:tc>
        <w:tc>
          <w:tcPr>
            <w:tcW w:w="2060" w:type="dxa"/>
            <w:tcBorders>
              <w:top w:val="nil"/>
              <w:left w:val="nil"/>
              <w:bottom w:val="nil"/>
              <w:right w:val="nil"/>
            </w:tcBorders>
            <w:shd w:val="clear" w:color="auto" w:fill="auto"/>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1 524</w:t>
            </w:r>
          </w:p>
        </w:tc>
      </w:tr>
      <w:tr w:rsidR="00895A49" w:rsidRPr="00895A49" w:rsidTr="00410EA4">
        <w:trPr>
          <w:trHeight w:val="337"/>
        </w:trPr>
        <w:tc>
          <w:tcPr>
            <w:tcW w:w="5529" w:type="dxa"/>
            <w:tcBorders>
              <w:top w:val="nil"/>
              <w:left w:val="nil"/>
              <w:bottom w:val="single" w:sz="4" w:space="0" w:color="auto"/>
              <w:right w:val="nil"/>
            </w:tcBorders>
            <w:shd w:val="clear" w:color="auto" w:fill="auto"/>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Страхові премії, передані у перестрахування</w:t>
            </w:r>
          </w:p>
        </w:tc>
        <w:tc>
          <w:tcPr>
            <w:tcW w:w="1780" w:type="dxa"/>
            <w:tcBorders>
              <w:top w:val="nil"/>
              <w:left w:val="nil"/>
              <w:bottom w:val="single" w:sz="4" w:space="0" w:color="auto"/>
              <w:right w:val="nil"/>
            </w:tcBorders>
            <w:shd w:val="clear" w:color="auto" w:fill="auto"/>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(52)</w:t>
            </w:r>
          </w:p>
        </w:tc>
        <w:tc>
          <w:tcPr>
            <w:tcW w:w="2060" w:type="dxa"/>
            <w:tcBorders>
              <w:top w:val="nil"/>
              <w:left w:val="nil"/>
              <w:bottom w:val="single" w:sz="4" w:space="0" w:color="auto"/>
              <w:right w:val="nil"/>
            </w:tcBorders>
            <w:shd w:val="clear" w:color="auto" w:fill="auto"/>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(690)</w:t>
            </w:r>
          </w:p>
        </w:tc>
      </w:tr>
      <w:tr w:rsidR="00895A49" w:rsidRPr="00895A49" w:rsidTr="00410EA4">
        <w:trPr>
          <w:trHeight w:val="312"/>
        </w:trPr>
        <w:tc>
          <w:tcPr>
            <w:tcW w:w="5529"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Страхові премії, чисті</w:t>
            </w:r>
          </w:p>
        </w:tc>
        <w:tc>
          <w:tcPr>
            <w:tcW w:w="178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150</w:t>
            </w:r>
          </w:p>
        </w:tc>
        <w:tc>
          <w:tcPr>
            <w:tcW w:w="206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834</w:t>
            </w:r>
          </w:p>
        </w:tc>
      </w:tr>
      <w:tr w:rsidR="00895A49" w:rsidRPr="00895A49" w:rsidTr="00410EA4">
        <w:trPr>
          <w:trHeight w:val="312"/>
        </w:trPr>
        <w:tc>
          <w:tcPr>
            <w:tcW w:w="5529"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p>
        </w:tc>
        <w:tc>
          <w:tcPr>
            <w:tcW w:w="178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rPr>
                <w:rFonts w:ascii="Times New Roman" w:hAnsi="Times New Roman" w:cs="Times New Roman"/>
                <w:sz w:val="24"/>
                <w:szCs w:val="24"/>
              </w:rPr>
            </w:pPr>
          </w:p>
        </w:tc>
        <w:tc>
          <w:tcPr>
            <w:tcW w:w="206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p>
        </w:tc>
      </w:tr>
      <w:tr w:rsidR="00895A49" w:rsidRPr="00895A49" w:rsidTr="00410EA4">
        <w:trPr>
          <w:trHeight w:val="312"/>
        </w:trPr>
        <w:tc>
          <w:tcPr>
            <w:tcW w:w="5529"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Зміна резерву незароблених премій</w:t>
            </w:r>
          </w:p>
        </w:tc>
        <w:tc>
          <w:tcPr>
            <w:tcW w:w="178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1 216</w:t>
            </w:r>
          </w:p>
        </w:tc>
        <w:tc>
          <w:tcPr>
            <w:tcW w:w="206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216</w:t>
            </w:r>
          </w:p>
        </w:tc>
      </w:tr>
      <w:tr w:rsidR="00895A49" w:rsidRPr="00895A49" w:rsidTr="00410EA4">
        <w:trPr>
          <w:trHeight w:val="624"/>
        </w:trPr>
        <w:tc>
          <w:tcPr>
            <w:tcW w:w="5529"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Частка перестраховиків у зміні резерву незароблених премій</w:t>
            </w:r>
          </w:p>
        </w:tc>
        <w:tc>
          <w:tcPr>
            <w:tcW w:w="1780" w:type="dxa"/>
            <w:tcBorders>
              <w:top w:val="nil"/>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(597)</w:t>
            </w:r>
          </w:p>
        </w:tc>
        <w:tc>
          <w:tcPr>
            <w:tcW w:w="2060"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(85)</w:t>
            </w:r>
          </w:p>
        </w:tc>
      </w:tr>
      <w:tr w:rsidR="00895A49" w:rsidRPr="00895A49" w:rsidTr="00410EA4">
        <w:trPr>
          <w:trHeight w:val="300"/>
        </w:trPr>
        <w:tc>
          <w:tcPr>
            <w:tcW w:w="5529"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Зміна резерву незароблених премій, чиста</w:t>
            </w:r>
          </w:p>
        </w:tc>
        <w:tc>
          <w:tcPr>
            <w:tcW w:w="1780" w:type="dxa"/>
            <w:tcBorders>
              <w:top w:val="nil"/>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619</w:t>
            </w:r>
          </w:p>
        </w:tc>
        <w:tc>
          <w:tcPr>
            <w:tcW w:w="2060" w:type="dxa"/>
            <w:tcBorders>
              <w:top w:val="nil"/>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131</w:t>
            </w:r>
          </w:p>
        </w:tc>
      </w:tr>
      <w:tr w:rsidR="00895A49" w:rsidRPr="00895A49" w:rsidTr="00410EA4">
        <w:trPr>
          <w:trHeight w:val="312"/>
        </w:trPr>
        <w:tc>
          <w:tcPr>
            <w:tcW w:w="5529"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Чисті зароблені премії</w:t>
            </w:r>
          </w:p>
        </w:tc>
        <w:tc>
          <w:tcPr>
            <w:tcW w:w="178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769</w:t>
            </w:r>
          </w:p>
        </w:tc>
        <w:tc>
          <w:tcPr>
            <w:tcW w:w="206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965</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pStyle w:val="af7"/>
        <w:widowControl w:val="0"/>
        <w:spacing w:after="0"/>
        <w:jc w:val="both"/>
        <w:rPr>
          <w:sz w:val="24"/>
          <w:szCs w:val="24"/>
        </w:rPr>
      </w:pPr>
      <w:r w:rsidRPr="00895A49">
        <w:rPr>
          <w:sz w:val="24"/>
          <w:szCs w:val="24"/>
        </w:rPr>
        <w:t xml:space="preserve">За звітний період загальна сума страхових платежів склала 202 тис. грн., </w:t>
      </w:r>
      <w:r w:rsidRPr="00895A49">
        <w:rPr>
          <w:sz w:val="24"/>
          <w:szCs w:val="24"/>
          <w:lang w:eastAsia="uk-UA"/>
        </w:rPr>
        <w:t>що на 1 322 тис. грн. менше ніж за аналогічний період 2021</w:t>
      </w:r>
      <w:r w:rsidRPr="00895A49">
        <w:rPr>
          <w:sz w:val="24"/>
          <w:szCs w:val="24"/>
        </w:rPr>
        <w:t>року. Станом на кінець 31 березня2022 року всі види страхування є прибутковими. Пріоритетними напрямами діяльності Компанії є добровільне страхування вантажів та багажу.</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Загальний обсяг премій, переданих Компанією за укладеними договорами на перестрахування  протягом звітного періоду52 тис. грн.(аналогічний період 2021 року – 690 </w:t>
      </w:r>
      <w:proofErr w:type="spellStart"/>
      <w:r w:rsidRPr="00895A49">
        <w:rPr>
          <w:rFonts w:ascii="Times New Roman" w:hAnsi="Times New Roman" w:cs="Times New Roman"/>
          <w:sz w:val="24"/>
          <w:szCs w:val="24"/>
        </w:rPr>
        <w:t>тис.грн</w:t>
      </w:r>
      <w:proofErr w:type="spellEnd"/>
      <w:r w:rsidRPr="00895A49">
        <w:rPr>
          <w:rFonts w:ascii="Times New Roman" w:hAnsi="Times New Roman" w:cs="Times New Roman"/>
          <w:sz w:val="24"/>
          <w:szCs w:val="24"/>
        </w:rPr>
        <w:t>.)</w:t>
      </w:r>
    </w:p>
    <w:p w:rsidR="00895A49" w:rsidRPr="00895A49" w:rsidRDefault="00895A49" w:rsidP="00895A49">
      <w:pPr>
        <w:widowControl w:val="0"/>
        <w:spacing w:after="0" w:line="240" w:lineRule="auto"/>
        <w:jc w:val="both"/>
        <w:rPr>
          <w:rFonts w:ascii="Times New Roman" w:hAnsi="Times New Roman" w:cs="Times New Roman"/>
          <w:b/>
          <w:i/>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6.2 Фінансові доходи (р. 2220)</w:t>
      </w: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Фінансові доходи за звітний період, представлені таким чином:</w:t>
      </w:r>
    </w:p>
    <w:p w:rsidR="00895A49" w:rsidRPr="00895A49" w:rsidRDefault="00895A49" w:rsidP="00895A49">
      <w:pPr>
        <w:widowControl w:val="0"/>
        <w:spacing w:after="0" w:line="240" w:lineRule="auto"/>
        <w:jc w:val="both"/>
        <w:rPr>
          <w:rFonts w:ascii="Times New Roman" w:hAnsi="Times New Roman" w:cs="Times New Roman"/>
          <w:sz w:val="24"/>
          <w:szCs w:val="24"/>
        </w:rPr>
      </w:pPr>
    </w:p>
    <w:tbl>
      <w:tblPr>
        <w:tblW w:w="9782" w:type="dxa"/>
        <w:tblInd w:w="108" w:type="dxa"/>
        <w:tblLook w:val="04A0"/>
      </w:tblPr>
      <w:tblGrid>
        <w:gridCol w:w="6521"/>
        <w:gridCol w:w="1780"/>
        <w:gridCol w:w="1481"/>
      </w:tblGrid>
      <w:tr w:rsidR="00895A49" w:rsidRPr="00895A49" w:rsidTr="00410EA4">
        <w:trPr>
          <w:trHeight w:val="324"/>
        </w:trPr>
        <w:tc>
          <w:tcPr>
            <w:tcW w:w="6521"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w:t>
            </w:r>
          </w:p>
        </w:tc>
        <w:tc>
          <w:tcPr>
            <w:tcW w:w="1780"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481"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672"/>
        </w:trPr>
        <w:tc>
          <w:tcPr>
            <w:tcW w:w="6521"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lastRenderedPageBreak/>
              <w:t xml:space="preserve">Процентні доходи за депозитами  </w:t>
            </w:r>
          </w:p>
        </w:tc>
        <w:tc>
          <w:tcPr>
            <w:tcW w:w="178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397</w:t>
            </w:r>
          </w:p>
        </w:tc>
        <w:tc>
          <w:tcPr>
            <w:tcW w:w="1481"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488</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Компанія зазнає впливу коливань ринкових процентних ставок на свій фінансовий стан та грошові потоки. Процентна маржа може збільшуватися або зменшуватися в результаті таких змін або призводити до збитків у разі виникнення несподіваних змін.</w:t>
      </w: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6.3Інші операційні доходи (р. 2120)</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Інші операційні доходи за звітний період, представлені наступним чином:</w:t>
      </w:r>
    </w:p>
    <w:tbl>
      <w:tblPr>
        <w:tblW w:w="9781" w:type="dxa"/>
        <w:tblInd w:w="108" w:type="dxa"/>
        <w:tblLook w:val="04A0"/>
      </w:tblPr>
      <w:tblGrid>
        <w:gridCol w:w="5812"/>
        <w:gridCol w:w="2268"/>
        <w:gridCol w:w="1701"/>
      </w:tblGrid>
      <w:tr w:rsidR="00895A49" w:rsidRPr="00895A49" w:rsidTr="00410EA4">
        <w:trPr>
          <w:trHeight w:val="324"/>
        </w:trPr>
        <w:tc>
          <w:tcPr>
            <w:tcW w:w="5812"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w:t>
            </w:r>
          </w:p>
        </w:tc>
        <w:tc>
          <w:tcPr>
            <w:tcW w:w="2268"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701"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12"/>
        </w:trPr>
        <w:tc>
          <w:tcPr>
            <w:tcW w:w="5812"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Дохід від надання послуг для інших страховиків</w:t>
            </w:r>
          </w:p>
        </w:tc>
        <w:tc>
          <w:tcPr>
            <w:tcW w:w="2268"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w:t>
            </w:r>
          </w:p>
        </w:tc>
        <w:tc>
          <w:tcPr>
            <w:tcW w:w="1701"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w:t>
            </w:r>
          </w:p>
        </w:tc>
      </w:tr>
      <w:tr w:rsidR="00895A49" w:rsidRPr="00895A49" w:rsidTr="00410EA4">
        <w:trPr>
          <w:trHeight w:val="312"/>
        </w:trPr>
        <w:tc>
          <w:tcPr>
            <w:tcW w:w="5812"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Доходи від операційної курсової різниці</w:t>
            </w:r>
          </w:p>
        </w:tc>
        <w:tc>
          <w:tcPr>
            <w:tcW w:w="2268"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1 346</w:t>
            </w:r>
          </w:p>
        </w:tc>
        <w:tc>
          <w:tcPr>
            <w:tcW w:w="1701"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12"/>
        </w:trPr>
        <w:tc>
          <w:tcPr>
            <w:tcW w:w="5812" w:type="dxa"/>
            <w:tcBorders>
              <w:top w:val="single" w:sz="4" w:space="0" w:color="auto"/>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2268" w:type="dxa"/>
            <w:tcBorders>
              <w:top w:val="single" w:sz="4" w:space="0" w:color="auto"/>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p>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1 348</w:t>
            </w:r>
          </w:p>
          <w:p w:rsidR="00895A49" w:rsidRPr="00895A49" w:rsidRDefault="00895A49" w:rsidP="00895A49">
            <w:pPr>
              <w:widowControl w:val="0"/>
              <w:spacing w:after="0" w:line="240" w:lineRule="auto"/>
              <w:jc w:val="right"/>
              <w:rPr>
                <w:rFonts w:ascii="Times New Roman" w:hAnsi="Times New Roman" w:cs="Times New Roman"/>
                <w:b/>
                <w:bCs/>
                <w:sz w:val="24"/>
                <w:szCs w:val="24"/>
              </w:rPr>
            </w:pPr>
          </w:p>
        </w:tc>
        <w:tc>
          <w:tcPr>
            <w:tcW w:w="1701" w:type="dxa"/>
            <w:tcBorders>
              <w:top w:val="single" w:sz="4" w:space="0" w:color="auto"/>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lang w:val="ru-RU"/>
              </w:rPr>
              <w:t>1</w:t>
            </w:r>
          </w:p>
        </w:tc>
      </w:tr>
    </w:tbl>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6.4Адміністративні витрати (р. 2130)</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Адміністративні витрати за звітний період, представлені наступним чином:</w:t>
      </w:r>
    </w:p>
    <w:tbl>
      <w:tblPr>
        <w:tblW w:w="9889" w:type="dxa"/>
        <w:tblLook w:val="04A0"/>
      </w:tblPr>
      <w:tblGrid>
        <w:gridCol w:w="108"/>
        <w:gridCol w:w="6413"/>
        <w:gridCol w:w="108"/>
        <w:gridCol w:w="1672"/>
        <w:gridCol w:w="108"/>
        <w:gridCol w:w="1372"/>
        <w:gridCol w:w="108"/>
      </w:tblGrid>
      <w:tr w:rsidR="00895A49" w:rsidRPr="00895A49" w:rsidTr="00410EA4">
        <w:trPr>
          <w:gridBefore w:val="1"/>
          <w:wBefore w:w="108" w:type="dxa"/>
          <w:trHeight w:val="324"/>
        </w:trPr>
        <w:tc>
          <w:tcPr>
            <w:tcW w:w="6521" w:type="dxa"/>
            <w:gridSpan w:val="2"/>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bookmarkStart w:id="0" w:name="OLE_LINK1"/>
            <w:r w:rsidRPr="00895A49">
              <w:rPr>
                <w:rFonts w:ascii="Times New Roman" w:hAnsi="Times New Roman" w:cs="Times New Roman"/>
                <w:sz w:val="24"/>
                <w:szCs w:val="24"/>
              </w:rPr>
              <w:t> </w:t>
            </w:r>
          </w:p>
        </w:tc>
        <w:tc>
          <w:tcPr>
            <w:tcW w:w="1780" w:type="dxa"/>
            <w:gridSpan w:val="2"/>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lang w:val="ru-RU"/>
              </w:rPr>
              <w:t xml:space="preserve">    31.03.</w:t>
            </w:r>
            <w:r w:rsidRPr="00895A49">
              <w:rPr>
                <w:rFonts w:ascii="Times New Roman" w:hAnsi="Times New Roman" w:cs="Times New Roman"/>
                <w:b/>
                <w:bCs/>
                <w:sz w:val="24"/>
                <w:szCs w:val="24"/>
              </w:rPr>
              <w:t>20</w:t>
            </w:r>
            <w:r w:rsidRPr="00895A49">
              <w:rPr>
                <w:rFonts w:ascii="Times New Roman" w:hAnsi="Times New Roman" w:cs="Times New Roman"/>
                <w:b/>
                <w:bCs/>
                <w:sz w:val="24"/>
                <w:szCs w:val="24"/>
                <w:lang w:val="en-US"/>
              </w:rPr>
              <w:t>2</w:t>
            </w:r>
            <w:proofErr w:type="spellStart"/>
            <w:r w:rsidRPr="00895A49">
              <w:rPr>
                <w:rFonts w:ascii="Times New Roman" w:hAnsi="Times New Roman" w:cs="Times New Roman"/>
                <w:b/>
                <w:bCs/>
                <w:sz w:val="24"/>
                <w:szCs w:val="24"/>
              </w:rPr>
              <w:t>2</w:t>
            </w:r>
            <w:proofErr w:type="spellEnd"/>
          </w:p>
        </w:tc>
        <w:tc>
          <w:tcPr>
            <w:tcW w:w="1480" w:type="dxa"/>
            <w:gridSpan w:val="2"/>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Виплати працівникам </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939</w:t>
            </w:r>
          </w:p>
        </w:tc>
        <w:tc>
          <w:tcPr>
            <w:tcW w:w="1480" w:type="dxa"/>
            <w:gridSpan w:val="2"/>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699</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Нарахування на виплати працівникам</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203</w:t>
            </w:r>
          </w:p>
        </w:tc>
        <w:tc>
          <w:tcPr>
            <w:tcW w:w="14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153</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Амортизація</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354</w:t>
            </w:r>
          </w:p>
        </w:tc>
        <w:tc>
          <w:tcPr>
            <w:tcW w:w="1480" w:type="dxa"/>
            <w:gridSpan w:val="2"/>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297</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Витрати на обслуговування офісу</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lang w:val="ru-RU"/>
              </w:rPr>
            </w:pPr>
            <w:r w:rsidRPr="00895A49">
              <w:rPr>
                <w:rFonts w:ascii="Times New Roman" w:hAnsi="Times New Roman" w:cs="Times New Roman"/>
                <w:sz w:val="24"/>
                <w:szCs w:val="24"/>
                <w:lang w:val="ru-RU"/>
              </w:rPr>
              <w:t xml:space="preserve">      17</w:t>
            </w:r>
          </w:p>
        </w:tc>
        <w:tc>
          <w:tcPr>
            <w:tcW w:w="1480" w:type="dxa"/>
            <w:gridSpan w:val="2"/>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24</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Витрати на обслуговування авто</w:t>
            </w:r>
            <w:r w:rsidRPr="00895A49">
              <w:rPr>
                <w:rFonts w:ascii="Times New Roman" w:hAnsi="Times New Roman" w:cs="Times New Roman"/>
                <w:sz w:val="24"/>
                <w:szCs w:val="24"/>
                <w:lang w:val="ru-RU"/>
              </w:rPr>
              <w:t>транспорту</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39</w:t>
            </w:r>
          </w:p>
        </w:tc>
        <w:tc>
          <w:tcPr>
            <w:tcW w:w="14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44</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Консультаційні послуги </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highlight w:val="yellow"/>
              </w:rPr>
            </w:pPr>
            <w:r w:rsidRPr="00895A49">
              <w:rPr>
                <w:rFonts w:ascii="Times New Roman" w:hAnsi="Times New Roman" w:cs="Times New Roman"/>
                <w:sz w:val="24"/>
                <w:szCs w:val="24"/>
              </w:rPr>
              <w:t xml:space="preserve">       11</w:t>
            </w:r>
          </w:p>
        </w:tc>
        <w:tc>
          <w:tcPr>
            <w:tcW w:w="1480" w:type="dxa"/>
            <w:gridSpan w:val="2"/>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sz w:val="24"/>
                <w:szCs w:val="24"/>
                <w:highlight w:val="yellow"/>
              </w:rPr>
            </w:pPr>
            <w:r w:rsidRPr="00895A49">
              <w:rPr>
                <w:rFonts w:ascii="Times New Roman" w:hAnsi="Times New Roman" w:cs="Times New Roman"/>
                <w:sz w:val="24"/>
                <w:szCs w:val="24"/>
              </w:rPr>
              <w:t xml:space="preserve"> 13</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Комунальні послуги</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77</w:t>
            </w:r>
          </w:p>
        </w:tc>
        <w:tc>
          <w:tcPr>
            <w:tcW w:w="1480" w:type="dxa"/>
            <w:gridSpan w:val="2"/>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sz w:val="24"/>
                <w:szCs w:val="24"/>
                <w:lang w:val="ru-RU"/>
              </w:rPr>
            </w:pPr>
            <w:r w:rsidRPr="00895A49">
              <w:rPr>
                <w:rFonts w:ascii="Times New Roman" w:hAnsi="Times New Roman" w:cs="Times New Roman"/>
                <w:sz w:val="24"/>
                <w:szCs w:val="24"/>
              </w:rPr>
              <w:t xml:space="preserve"> 48</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Послуги банків  </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14</w:t>
            </w:r>
          </w:p>
        </w:tc>
        <w:tc>
          <w:tcPr>
            <w:tcW w:w="1480" w:type="dxa"/>
            <w:gridSpan w:val="2"/>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12</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Витрати на зв’язок </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7</w:t>
            </w:r>
          </w:p>
        </w:tc>
        <w:tc>
          <w:tcPr>
            <w:tcW w:w="1480" w:type="dxa"/>
            <w:gridSpan w:val="2"/>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10</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Канцелярські витрати</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highlight w:val="yellow"/>
              </w:rPr>
            </w:pPr>
            <w:r w:rsidRPr="00895A49">
              <w:rPr>
                <w:rFonts w:ascii="Times New Roman" w:hAnsi="Times New Roman" w:cs="Times New Roman"/>
                <w:sz w:val="24"/>
                <w:szCs w:val="24"/>
              </w:rPr>
              <w:t xml:space="preserve">        1</w:t>
            </w:r>
          </w:p>
        </w:tc>
        <w:tc>
          <w:tcPr>
            <w:tcW w:w="14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highlight w:val="yellow"/>
              </w:rPr>
            </w:pPr>
            <w:r w:rsidRPr="00895A49">
              <w:rPr>
                <w:rFonts w:ascii="Times New Roman" w:hAnsi="Times New Roman" w:cs="Times New Roman"/>
                <w:sz w:val="24"/>
                <w:szCs w:val="24"/>
              </w:rPr>
              <w:t>4</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Витрати на підтвердження рейтингу компанії                                                      </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w:t>
            </w:r>
          </w:p>
        </w:tc>
        <w:tc>
          <w:tcPr>
            <w:tcW w:w="14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lang w:val="ru-RU"/>
              </w:rPr>
            </w:pPr>
            <w:r w:rsidRPr="00895A49">
              <w:rPr>
                <w:rFonts w:ascii="Times New Roman" w:hAnsi="Times New Roman" w:cs="Times New Roman"/>
                <w:sz w:val="24"/>
                <w:szCs w:val="24"/>
                <w:lang w:val="ru-RU"/>
              </w:rPr>
              <w:t>1</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Витрати з податків та зборів</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12</w:t>
            </w:r>
          </w:p>
        </w:tc>
        <w:tc>
          <w:tcPr>
            <w:tcW w:w="14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lang w:val="ru-RU"/>
              </w:rPr>
            </w:pPr>
            <w:r w:rsidRPr="00895A49">
              <w:rPr>
                <w:rFonts w:ascii="Times New Roman" w:hAnsi="Times New Roman" w:cs="Times New Roman"/>
                <w:sz w:val="24"/>
                <w:szCs w:val="24"/>
                <w:lang w:val="ru-RU"/>
              </w:rPr>
              <w:t>10</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Нотаріальні послуги</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w:t>
            </w:r>
          </w:p>
        </w:tc>
        <w:tc>
          <w:tcPr>
            <w:tcW w:w="14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lang w:val="ru-RU"/>
              </w:rPr>
            </w:pPr>
            <w:r w:rsidRPr="00895A49">
              <w:rPr>
                <w:rFonts w:ascii="Times New Roman" w:hAnsi="Times New Roman" w:cs="Times New Roman"/>
                <w:sz w:val="24"/>
                <w:szCs w:val="24"/>
                <w:lang w:val="ru-RU"/>
              </w:rPr>
              <w:t>1</w:t>
            </w:r>
          </w:p>
        </w:tc>
      </w:tr>
      <w:tr w:rsidR="00895A49" w:rsidRPr="00895A49" w:rsidTr="00410EA4">
        <w:trPr>
          <w:gridAfter w:val="1"/>
          <w:wAfter w:w="108" w:type="dxa"/>
          <w:trHeight w:val="312"/>
        </w:trPr>
        <w:tc>
          <w:tcPr>
            <w:tcW w:w="6521" w:type="dxa"/>
            <w:gridSpan w:val="2"/>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Депозитарні послуги</w:t>
            </w:r>
          </w:p>
        </w:tc>
        <w:tc>
          <w:tcPr>
            <w:tcW w:w="17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1</w:t>
            </w:r>
          </w:p>
        </w:tc>
        <w:tc>
          <w:tcPr>
            <w:tcW w:w="1480" w:type="dxa"/>
            <w:gridSpan w:val="2"/>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lang w:val="ru-RU"/>
              </w:rPr>
            </w:pPr>
            <w:r w:rsidRPr="00895A49">
              <w:rPr>
                <w:rFonts w:ascii="Times New Roman" w:hAnsi="Times New Roman" w:cs="Times New Roman"/>
                <w:sz w:val="24"/>
                <w:szCs w:val="24"/>
                <w:lang w:val="ru-RU"/>
              </w:rPr>
              <w:t>1</w:t>
            </w:r>
          </w:p>
        </w:tc>
      </w:tr>
      <w:tr w:rsidR="00895A49" w:rsidRPr="00895A49" w:rsidTr="00410EA4">
        <w:trPr>
          <w:gridAfter w:val="1"/>
          <w:wAfter w:w="108" w:type="dxa"/>
          <w:trHeight w:val="312"/>
        </w:trPr>
        <w:tc>
          <w:tcPr>
            <w:tcW w:w="6521" w:type="dxa"/>
            <w:gridSpan w:val="2"/>
            <w:tcBorders>
              <w:top w:val="nil"/>
              <w:left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proofErr w:type="spellStart"/>
            <w:r w:rsidRPr="00895A49">
              <w:rPr>
                <w:rFonts w:ascii="Times New Roman" w:hAnsi="Times New Roman" w:cs="Times New Roman"/>
                <w:sz w:val="24"/>
                <w:szCs w:val="24"/>
              </w:rPr>
              <w:t>Актуарні</w:t>
            </w:r>
            <w:proofErr w:type="spellEnd"/>
            <w:r w:rsidRPr="00895A49">
              <w:rPr>
                <w:rFonts w:ascii="Times New Roman" w:hAnsi="Times New Roman" w:cs="Times New Roman"/>
                <w:sz w:val="24"/>
                <w:szCs w:val="24"/>
              </w:rPr>
              <w:t xml:space="preserve"> послуги</w:t>
            </w:r>
          </w:p>
        </w:tc>
        <w:tc>
          <w:tcPr>
            <w:tcW w:w="1780" w:type="dxa"/>
            <w:gridSpan w:val="2"/>
            <w:tcBorders>
              <w:top w:val="nil"/>
              <w:left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12</w:t>
            </w:r>
          </w:p>
        </w:tc>
        <w:tc>
          <w:tcPr>
            <w:tcW w:w="1480" w:type="dxa"/>
            <w:gridSpan w:val="2"/>
            <w:tcBorders>
              <w:top w:val="nil"/>
              <w:left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lang w:val="ru-RU"/>
              </w:rPr>
            </w:pPr>
            <w:r w:rsidRPr="00895A49">
              <w:rPr>
                <w:rFonts w:ascii="Times New Roman" w:hAnsi="Times New Roman" w:cs="Times New Roman"/>
                <w:sz w:val="24"/>
                <w:szCs w:val="24"/>
                <w:lang w:val="ru-RU"/>
              </w:rPr>
              <w:t>10</w:t>
            </w:r>
          </w:p>
        </w:tc>
      </w:tr>
      <w:tr w:rsidR="00895A49" w:rsidRPr="00895A49" w:rsidTr="00410EA4">
        <w:trPr>
          <w:gridAfter w:val="1"/>
          <w:wAfter w:w="108" w:type="dxa"/>
          <w:trHeight w:val="312"/>
        </w:trPr>
        <w:tc>
          <w:tcPr>
            <w:tcW w:w="6521" w:type="dxa"/>
            <w:gridSpan w:val="2"/>
            <w:tcBorders>
              <w:top w:val="nil"/>
              <w:left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Технічне обслуговування основних засобів</w:t>
            </w:r>
          </w:p>
        </w:tc>
        <w:tc>
          <w:tcPr>
            <w:tcW w:w="1780" w:type="dxa"/>
            <w:gridSpan w:val="2"/>
            <w:tcBorders>
              <w:top w:val="nil"/>
              <w:left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 xml:space="preserve">       2</w:t>
            </w:r>
          </w:p>
        </w:tc>
        <w:tc>
          <w:tcPr>
            <w:tcW w:w="1480" w:type="dxa"/>
            <w:gridSpan w:val="2"/>
            <w:tcBorders>
              <w:top w:val="nil"/>
              <w:left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4</w:t>
            </w:r>
          </w:p>
        </w:tc>
      </w:tr>
      <w:tr w:rsidR="00895A49" w:rsidRPr="00895A49" w:rsidTr="00410EA4">
        <w:trPr>
          <w:gridAfter w:val="1"/>
          <w:wAfter w:w="108" w:type="dxa"/>
          <w:trHeight w:val="312"/>
        </w:trPr>
        <w:tc>
          <w:tcPr>
            <w:tcW w:w="6521" w:type="dxa"/>
            <w:gridSpan w:val="2"/>
            <w:tcBorders>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Інше</w:t>
            </w:r>
          </w:p>
        </w:tc>
        <w:tc>
          <w:tcPr>
            <w:tcW w:w="1780" w:type="dxa"/>
            <w:gridSpan w:val="2"/>
            <w:tcBorders>
              <w:left w:val="nil"/>
              <w:bottom w:val="single" w:sz="4" w:space="0" w:color="auto"/>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sz w:val="24"/>
                <w:szCs w:val="24"/>
                <w:lang w:val="ru-RU"/>
              </w:rPr>
            </w:pPr>
            <w:r w:rsidRPr="00895A49">
              <w:rPr>
                <w:rFonts w:ascii="Times New Roman" w:hAnsi="Times New Roman" w:cs="Times New Roman"/>
                <w:sz w:val="24"/>
                <w:szCs w:val="24"/>
                <w:lang w:val="ru-RU"/>
              </w:rPr>
              <w:t xml:space="preserve">       4</w:t>
            </w:r>
          </w:p>
        </w:tc>
        <w:tc>
          <w:tcPr>
            <w:tcW w:w="1480" w:type="dxa"/>
            <w:gridSpan w:val="2"/>
            <w:tcBorders>
              <w:left w:val="nil"/>
              <w:bottom w:val="single" w:sz="4" w:space="0" w:color="auto"/>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13</w:t>
            </w:r>
          </w:p>
        </w:tc>
      </w:tr>
      <w:tr w:rsidR="00895A49" w:rsidRPr="00895A49" w:rsidTr="00410EA4">
        <w:trPr>
          <w:gridBefore w:val="1"/>
          <w:wBefore w:w="108" w:type="dxa"/>
          <w:trHeight w:val="312"/>
        </w:trPr>
        <w:tc>
          <w:tcPr>
            <w:tcW w:w="6521" w:type="dxa"/>
            <w:gridSpan w:val="2"/>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1780" w:type="dxa"/>
            <w:gridSpan w:val="2"/>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1 693</w:t>
            </w:r>
          </w:p>
        </w:tc>
        <w:tc>
          <w:tcPr>
            <w:tcW w:w="1480" w:type="dxa"/>
            <w:gridSpan w:val="2"/>
            <w:tcBorders>
              <w:top w:val="single" w:sz="4" w:space="0" w:color="auto"/>
              <w:left w:val="nil"/>
              <w:right w:val="nil"/>
            </w:tcBorders>
            <w:shd w:val="clear" w:color="auto" w:fill="auto"/>
            <w:vAlign w:val="center"/>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1 344</w:t>
            </w:r>
          </w:p>
        </w:tc>
      </w:tr>
      <w:bookmarkEnd w:id="0"/>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6.5Витрати на збут (р. 2150)</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Витрати на збут  за звітний період, представлені наступним чином:</w:t>
      </w:r>
    </w:p>
    <w:tbl>
      <w:tblPr>
        <w:tblW w:w="9923" w:type="dxa"/>
        <w:tblInd w:w="108" w:type="dxa"/>
        <w:tblLook w:val="04A0"/>
      </w:tblPr>
      <w:tblGrid>
        <w:gridCol w:w="6663"/>
        <w:gridCol w:w="1780"/>
        <w:gridCol w:w="1480"/>
      </w:tblGrid>
      <w:tr w:rsidR="00895A49" w:rsidRPr="00895A49" w:rsidTr="00410EA4">
        <w:trPr>
          <w:trHeight w:val="324"/>
        </w:trPr>
        <w:tc>
          <w:tcPr>
            <w:tcW w:w="6663"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w:t>
            </w:r>
          </w:p>
        </w:tc>
        <w:tc>
          <w:tcPr>
            <w:tcW w:w="1780"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480"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 xml:space="preserve">   31.03.2021</w:t>
            </w:r>
          </w:p>
        </w:tc>
      </w:tr>
      <w:tr w:rsidR="00895A49" w:rsidRPr="00895A49" w:rsidTr="00410EA4">
        <w:trPr>
          <w:trHeight w:val="324"/>
        </w:trPr>
        <w:tc>
          <w:tcPr>
            <w:tcW w:w="6663"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Винагорода брокерам та агентам</w:t>
            </w:r>
          </w:p>
        </w:tc>
        <w:tc>
          <w:tcPr>
            <w:tcW w:w="178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ru-RU"/>
              </w:rPr>
            </w:pPr>
            <w:r w:rsidRPr="00895A49">
              <w:rPr>
                <w:rFonts w:ascii="Times New Roman" w:hAnsi="Times New Roman" w:cs="Times New Roman"/>
                <w:sz w:val="24"/>
                <w:szCs w:val="24"/>
                <w:lang w:val="ru-RU"/>
              </w:rPr>
              <w:t>15</w:t>
            </w:r>
          </w:p>
        </w:tc>
        <w:tc>
          <w:tcPr>
            <w:tcW w:w="148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93</w:t>
            </w:r>
          </w:p>
        </w:tc>
      </w:tr>
      <w:tr w:rsidR="00895A49" w:rsidRPr="00895A49" w:rsidTr="00410EA4">
        <w:trPr>
          <w:trHeight w:val="312"/>
        </w:trPr>
        <w:tc>
          <w:tcPr>
            <w:tcW w:w="6663"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Послуги </w:t>
            </w:r>
            <w:proofErr w:type="spellStart"/>
            <w:r w:rsidRPr="00895A49">
              <w:rPr>
                <w:rFonts w:ascii="Times New Roman" w:hAnsi="Times New Roman" w:cs="Times New Roman"/>
                <w:sz w:val="24"/>
                <w:szCs w:val="24"/>
              </w:rPr>
              <w:t>асістансу</w:t>
            </w:r>
            <w:proofErr w:type="spellEnd"/>
          </w:p>
        </w:tc>
        <w:tc>
          <w:tcPr>
            <w:tcW w:w="178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ru-RU"/>
              </w:rPr>
            </w:pPr>
            <w:r w:rsidRPr="00895A49">
              <w:rPr>
                <w:rFonts w:ascii="Times New Roman" w:hAnsi="Times New Roman" w:cs="Times New Roman"/>
                <w:sz w:val="24"/>
                <w:szCs w:val="24"/>
                <w:lang w:val="ru-RU"/>
              </w:rPr>
              <w:t>15</w:t>
            </w:r>
          </w:p>
        </w:tc>
        <w:tc>
          <w:tcPr>
            <w:tcW w:w="148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15</w:t>
            </w:r>
          </w:p>
        </w:tc>
      </w:tr>
      <w:tr w:rsidR="00895A49" w:rsidRPr="00895A49" w:rsidTr="00410EA4">
        <w:trPr>
          <w:trHeight w:val="312"/>
        </w:trPr>
        <w:tc>
          <w:tcPr>
            <w:tcW w:w="6663"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lang w:val="ru-RU"/>
              </w:rPr>
              <w:t>Участь у тендерах (</w:t>
            </w:r>
            <w:proofErr w:type="spellStart"/>
            <w:r w:rsidRPr="00895A49">
              <w:rPr>
                <w:rFonts w:ascii="Times New Roman" w:hAnsi="Times New Roman" w:cs="Times New Roman"/>
                <w:sz w:val="24"/>
                <w:szCs w:val="24"/>
                <w:lang w:val="ru-RU"/>
              </w:rPr>
              <w:t>учасник</w:t>
            </w:r>
            <w:proofErr w:type="spellEnd"/>
            <w:r w:rsidR="006D4FEE">
              <w:rPr>
                <w:rFonts w:ascii="Times New Roman" w:hAnsi="Times New Roman" w:cs="Times New Roman"/>
                <w:sz w:val="24"/>
                <w:szCs w:val="24"/>
                <w:lang w:val="ru-RU"/>
              </w:rPr>
              <w:t xml:space="preserve"> </w:t>
            </w:r>
            <w:proofErr w:type="spellStart"/>
            <w:r w:rsidRPr="00895A49">
              <w:rPr>
                <w:rFonts w:ascii="Times New Roman" w:hAnsi="Times New Roman" w:cs="Times New Roman"/>
                <w:sz w:val="24"/>
                <w:szCs w:val="24"/>
                <w:lang w:val="ru-RU"/>
              </w:rPr>
              <w:t>переможець</w:t>
            </w:r>
            <w:proofErr w:type="spellEnd"/>
            <w:r w:rsidRPr="00895A49">
              <w:rPr>
                <w:rFonts w:ascii="Times New Roman" w:hAnsi="Times New Roman" w:cs="Times New Roman"/>
                <w:sz w:val="24"/>
                <w:szCs w:val="24"/>
                <w:lang w:val="ru-RU"/>
              </w:rPr>
              <w:t>)</w:t>
            </w:r>
          </w:p>
        </w:tc>
        <w:tc>
          <w:tcPr>
            <w:tcW w:w="178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48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w:t>
            </w:r>
          </w:p>
        </w:tc>
      </w:tr>
      <w:tr w:rsidR="00895A49" w:rsidRPr="00895A49" w:rsidTr="00410EA4">
        <w:trPr>
          <w:trHeight w:val="312"/>
        </w:trPr>
        <w:tc>
          <w:tcPr>
            <w:tcW w:w="6663" w:type="dxa"/>
            <w:tcBorders>
              <w:top w:val="single" w:sz="4" w:space="0" w:color="auto"/>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lastRenderedPageBreak/>
              <w:t>Всього</w:t>
            </w:r>
          </w:p>
        </w:tc>
        <w:tc>
          <w:tcPr>
            <w:tcW w:w="1780" w:type="dxa"/>
            <w:tcBorders>
              <w:top w:val="single" w:sz="4" w:space="0" w:color="auto"/>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30</w:t>
            </w:r>
          </w:p>
        </w:tc>
        <w:tc>
          <w:tcPr>
            <w:tcW w:w="1480" w:type="dxa"/>
            <w:tcBorders>
              <w:top w:val="single" w:sz="4" w:space="0" w:color="auto"/>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lang w:val="ru-RU"/>
              </w:rPr>
              <w:t>109</w:t>
            </w:r>
          </w:p>
        </w:tc>
      </w:tr>
    </w:tbl>
    <w:p w:rsidR="00895A49" w:rsidRPr="00895A49" w:rsidRDefault="00895A49" w:rsidP="00895A49">
      <w:pPr>
        <w:widowControl w:val="0"/>
        <w:spacing w:after="0" w:line="240" w:lineRule="auto"/>
        <w:jc w:val="both"/>
        <w:rPr>
          <w:rFonts w:ascii="Times New Roman" w:hAnsi="Times New Roman" w:cs="Times New Roman"/>
          <w:b/>
          <w:i/>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6.6Інші операційні витрати (р. 2180)</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Інші операційні витрати за звітний період, представлені наступним чином:</w:t>
      </w:r>
    </w:p>
    <w:tbl>
      <w:tblPr>
        <w:tblW w:w="9923" w:type="dxa"/>
        <w:tblInd w:w="108" w:type="dxa"/>
        <w:tblLook w:val="04A0"/>
      </w:tblPr>
      <w:tblGrid>
        <w:gridCol w:w="6663"/>
        <w:gridCol w:w="1780"/>
        <w:gridCol w:w="1480"/>
      </w:tblGrid>
      <w:tr w:rsidR="00895A49" w:rsidRPr="00895A49" w:rsidTr="00410EA4">
        <w:trPr>
          <w:trHeight w:val="324"/>
        </w:trPr>
        <w:tc>
          <w:tcPr>
            <w:tcW w:w="6663"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w:t>
            </w:r>
          </w:p>
        </w:tc>
        <w:tc>
          <w:tcPr>
            <w:tcW w:w="1780"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480"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12"/>
        </w:trPr>
        <w:tc>
          <w:tcPr>
            <w:tcW w:w="6663"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Збитки від операційної курсової різниці</w:t>
            </w:r>
          </w:p>
        </w:tc>
        <w:tc>
          <w:tcPr>
            <w:tcW w:w="178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                       -</w:t>
            </w:r>
          </w:p>
        </w:tc>
        <w:tc>
          <w:tcPr>
            <w:tcW w:w="148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262</w:t>
            </w:r>
          </w:p>
        </w:tc>
      </w:tr>
      <w:tr w:rsidR="00895A49" w:rsidRPr="00895A49" w:rsidTr="00410EA4">
        <w:trPr>
          <w:trHeight w:val="247"/>
        </w:trPr>
        <w:tc>
          <w:tcPr>
            <w:tcW w:w="6663"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Витрати на нарахування резерву очікуваних кредитних збитків</w:t>
            </w:r>
          </w:p>
        </w:tc>
        <w:tc>
          <w:tcPr>
            <w:tcW w:w="1780"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lang w:val="ru-RU"/>
              </w:rPr>
              <w:t>-</w:t>
            </w:r>
          </w:p>
        </w:tc>
        <w:tc>
          <w:tcPr>
            <w:tcW w:w="148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9</w:t>
            </w:r>
          </w:p>
        </w:tc>
      </w:tr>
      <w:tr w:rsidR="00895A49" w:rsidRPr="00895A49" w:rsidTr="00410EA4">
        <w:trPr>
          <w:trHeight w:val="312"/>
        </w:trPr>
        <w:tc>
          <w:tcPr>
            <w:tcW w:w="6663" w:type="dxa"/>
            <w:tcBorders>
              <w:top w:val="single" w:sz="4" w:space="0" w:color="auto"/>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1780" w:type="dxa"/>
            <w:tcBorders>
              <w:top w:val="single" w:sz="4" w:space="0" w:color="auto"/>
              <w:left w:val="nil"/>
              <w:bottom w:val="nil"/>
              <w:right w:val="nil"/>
            </w:tcBorders>
            <w:shd w:val="clear" w:color="auto" w:fill="auto"/>
            <w:vAlign w:val="center"/>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 xml:space="preserve">                      -</w:t>
            </w:r>
          </w:p>
        </w:tc>
        <w:tc>
          <w:tcPr>
            <w:tcW w:w="1480" w:type="dxa"/>
            <w:tcBorders>
              <w:top w:val="single" w:sz="4" w:space="0" w:color="auto"/>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271</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6.7  Податок на прибуток</w:t>
      </w:r>
    </w:p>
    <w:p w:rsidR="00895A49" w:rsidRPr="00895A49" w:rsidRDefault="00895A49" w:rsidP="00895A49">
      <w:pPr>
        <w:pStyle w:val="af7"/>
        <w:widowControl w:val="0"/>
        <w:spacing w:after="0"/>
        <w:jc w:val="both"/>
        <w:rPr>
          <w:i/>
          <w:sz w:val="24"/>
          <w:szCs w:val="24"/>
        </w:rPr>
      </w:pPr>
      <w:r w:rsidRPr="00895A49">
        <w:rPr>
          <w:i/>
          <w:sz w:val="24"/>
          <w:szCs w:val="24"/>
        </w:rPr>
        <w:t>Поточний податок на прибуток (р.2300)</w:t>
      </w:r>
    </w:p>
    <w:p w:rsidR="00895A49" w:rsidRPr="00895A49" w:rsidRDefault="00895A49" w:rsidP="00895A49">
      <w:pPr>
        <w:pStyle w:val="af7"/>
        <w:widowControl w:val="0"/>
        <w:spacing w:after="0"/>
        <w:jc w:val="both"/>
        <w:rPr>
          <w:sz w:val="24"/>
          <w:szCs w:val="24"/>
        </w:rPr>
      </w:pPr>
      <w:r w:rsidRPr="00895A49">
        <w:rPr>
          <w:sz w:val="24"/>
          <w:szCs w:val="24"/>
        </w:rPr>
        <w:t>Компанія сплачує податок на прибуток за ставкою 18% та податок на дохід в розмірі 3% за договорами прямого страхування, який є частиною податку на прибуток.</w:t>
      </w:r>
    </w:p>
    <w:tbl>
      <w:tblPr>
        <w:tblW w:w="9920" w:type="dxa"/>
        <w:tblInd w:w="108" w:type="dxa"/>
        <w:tblLook w:val="04A0"/>
      </w:tblPr>
      <w:tblGrid>
        <w:gridCol w:w="6760"/>
        <w:gridCol w:w="1520"/>
        <w:gridCol w:w="1640"/>
      </w:tblGrid>
      <w:tr w:rsidR="00895A49" w:rsidRPr="00895A49" w:rsidTr="00410EA4">
        <w:trPr>
          <w:trHeight w:val="312"/>
        </w:trPr>
        <w:tc>
          <w:tcPr>
            <w:tcW w:w="6760"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 </w:t>
            </w:r>
          </w:p>
        </w:tc>
        <w:tc>
          <w:tcPr>
            <w:tcW w:w="1520"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640"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cantSplit/>
          <w:trHeight w:val="312"/>
        </w:trPr>
        <w:tc>
          <w:tcPr>
            <w:tcW w:w="6760"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Податок на прибуток</w:t>
            </w:r>
          </w:p>
        </w:tc>
        <w:tc>
          <w:tcPr>
            <w:tcW w:w="1520"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p>
        </w:tc>
        <w:tc>
          <w:tcPr>
            <w:tcW w:w="1640"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cantSplit/>
          <w:trHeight w:val="312"/>
        </w:trPr>
        <w:tc>
          <w:tcPr>
            <w:tcW w:w="6760" w:type="dxa"/>
            <w:tcBorders>
              <w:top w:val="nil"/>
              <w:left w:val="nil"/>
              <w:right w:val="nil"/>
            </w:tcBorders>
            <w:shd w:val="clear" w:color="auto" w:fill="auto"/>
            <w:noWrap/>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Поточні витрати з податку на прибуток 18%                                                  </w:t>
            </w:r>
          </w:p>
        </w:tc>
        <w:tc>
          <w:tcPr>
            <w:tcW w:w="1520" w:type="dxa"/>
            <w:tcBorders>
              <w:top w:val="nil"/>
              <w:left w:val="nil"/>
              <w:right w:val="nil"/>
            </w:tcBorders>
            <w:shd w:val="clear" w:color="auto" w:fill="auto"/>
            <w:noWrap/>
            <w:vAlign w:val="center"/>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                  -</w:t>
            </w:r>
          </w:p>
        </w:tc>
        <w:tc>
          <w:tcPr>
            <w:tcW w:w="1640" w:type="dxa"/>
            <w:tcBorders>
              <w:top w:val="nil"/>
              <w:left w:val="nil"/>
              <w:right w:val="nil"/>
            </w:tcBorders>
            <w:shd w:val="clear" w:color="auto" w:fill="auto"/>
            <w:noWrap/>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cantSplit/>
          <w:trHeight w:val="312"/>
        </w:trPr>
        <w:tc>
          <w:tcPr>
            <w:tcW w:w="6760" w:type="dxa"/>
            <w:tcBorders>
              <w:top w:val="nil"/>
              <w:left w:val="nil"/>
              <w:bottom w:val="single" w:sz="4" w:space="0" w:color="auto"/>
              <w:right w:val="nil"/>
            </w:tcBorders>
            <w:shd w:val="clear" w:color="auto" w:fill="auto"/>
            <w:noWrap/>
            <w:vAlign w:val="center"/>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Поточні витрати з податку на прибуток 3%                                                </w:t>
            </w:r>
          </w:p>
        </w:tc>
        <w:tc>
          <w:tcPr>
            <w:tcW w:w="1520" w:type="dxa"/>
            <w:tcBorders>
              <w:top w:val="nil"/>
              <w:left w:val="nil"/>
              <w:bottom w:val="single" w:sz="4" w:space="0" w:color="auto"/>
              <w:right w:val="nil"/>
            </w:tcBorders>
            <w:shd w:val="clear" w:color="auto" w:fill="auto"/>
            <w:noWrap/>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6</w:t>
            </w:r>
          </w:p>
        </w:tc>
        <w:tc>
          <w:tcPr>
            <w:tcW w:w="1640" w:type="dxa"/>
            <w:tcBorders>
              <w:top w:val="nil"/>
              <w:left w:val="nil"/>
              <w:bottom w:val="single" w:sz="4" w:space="0" w:color="auto"/>
              <w:right w:val="nil"/>
            </w:tcBorders>
            <w:shd w:val="clear" w:color="auto" w:fill="auto"/>
            <w:noWrap/>
            <w:vAlign w:val="center"/>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46</w:t>
            </w:r>
          </w:p>
        </w:tc>
      </w:tr>
      <w:tr w:rsidR="00895A49" w:rsidRPr="00895A49" w:rsidTr="00410EA4">
        <w:trPr>
          <w:cantSplit/>
          <w:trHeight w:val="312"/>
        </w:trPr>
        <w:tc>
          <w:tcPr>
            <w:tcW w:w="6760" w:type="dxa"/>
            <w:tcBorders>
              <w:top w:val="single" w:sz="4" w:space="0" w:color="auto"/>
              <w:left w:val="nil"/>
              <w:right w:val="nil"/>
            </w:tcBorders>
            <w:shd w:val="clear" w:color="auto" w:fill="auto"/>
            <w:noWrap/>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Всього податок у складі витрат періоду</w:t>
            </w:r>
          </w:p>
        </w:tc>
        <w:tc>
          <w:tcPr>
            <w:tcW w:w="1520" w:type="dxa"/>
            <w:tcBorders>
              <w:top w:val="single" w:sz="4" w:space="0" w:color="auto"/>
              <w:left w:val="nil"/>
              <w:right w:val="nil"/>
            </w:tcBorders>
            <w:shd w:val="clear" w:color="auto" w:fill="auto"/>
            <w:noWrap/>
            <w:vAlign w:val="center"/>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 xml:space="preserve">                 6</w:t>
            </w:r>
          </w:p>
        </w:tc>
        <w:tc>
          <w:tcPr>
            <w:tcW w:w="1640" w:type="dxa"/>
            <w:tcBorders>
              <w:top w:val="single" w:sz="4" w:space="0" w:color="auto"/>
              <w:left w:val="nil"/>
              <w:right w:val="nil"/>
            </w:tcBorders>
            <w:shd w:val="clear" w:color="auto" w:fill="auto"/>
            <w:noWrap/>
            <w:vAlign w:val="center"/>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 xml:space="preserve">                   46</w:t>
            </w:r>
          </w:p>
        </w:tc>
      </w:tr>
    </w:tbl>
    <w:p w:rsidR="00895A49" w:rsidRPr="00895A49" w:rsidRDefault="00895A49" w:rsidP="00895A49">
      <w:pPr>
        <w:widowControl w:val="0"/>
        <w:spacing w:after="0" w:line="240" w:lineRule="auto"/>
        <w:jc w:val="both"/>
        <w:rPr>
          <w:rFonts w:ascii="Times New Roman" w:eastAsia="Calibri" w:hAnsi="Times New Roman" w:cs="Times New Roman"/>
          <w:sz w:val="24"/>
          <w:szCs w:val="24"/>
          <w:lang w:eastAsia="en-US"/>
        </w:rPr>
      </w:pPr>
      <w:r w:rsidRPr="00895A49">
        <w:rPr>
          <w:rFonts w:ascii="Times New Roman" w:eastAsia="Calibri" w:hAnsi="Times New Roman" w:cs="Times New Roman"/>
          <w:sz w:val="24"/>
          <w:szCs w:val="24"/>
          <w:lang w:eastAsia="en-US"/>
        </w:rPr>
        <w:t xml:space="preserve">Якщо бухгалтерський річний дохід від будь-якої діяльності (за вирахуванням непрямих податків) за останній рік не перевищує 40 млн. грн., об’єкт оподаткування може визначатися без </w:t>
      </w:r>
      <w:proofErr w:type="spellStart"/>
      <w:r w:rsidRPr="00895A49">
        <w:rPr>
          <w:rFonts w:ascii="Times New Roman" w:eastAsia="Calibri" w:hAnsi="Times New Roman" w:cs="Times New Roman"/>
          <w:sz w:val="24"/>
          <w:szCs w:val="24"/>
          <w:lang w:eastAsia="en-US"/>
        </w:rPr>
        <w:t>коригуванння</w:t>
      </w:r>
      <w:proofErr w:type="spellEnd"/>
      <w:r w:rsidRPr="00895A49">
        <w:rPr>
          <w:rFonts w:ascii="Times New Roman" w:eastAsia="Calibri" w:hAnsi="Times New Roman" w:cs="Times New Roman"/>
          <w:sz w:val="24"/>
          <w:szCs w:val="24"/>
          <w:lang w:eastAsia="en-US"/>
        </w:rPr>
        <w:t xml:space="preserve"> фінансового результату до оподаткування на всі різниці, окрім від’ємного значення  об’єкта оподаткування минулих податкових (звітних) років.</w:t>
      </w:r>
      <w:r w:rsidR="006D4FEE">
        <w:rPr>
          <w:rFonts w:ascii="Times New Roman" w:eastAsia="Calibri" w:hAnsi="Times New Roman" w:cs="Times New Roman"/>
          <w:sz w:val="24"/>
          <w:szCs w:val="24"/>
          <w:lang w:eastAsia="en-US"/>
        </w:rPr>
        <w:t xml:space="preserve"> </w:t>
      </w:r>
      <w:r w:rsidRPr="00895A49">
        <w:rPr>
          <w:rFonts w:ascii="Times New Roman" w:eastAsia="Calibri" w:hAnsi="Times New Roman" w:cs="Times New Roman"/>
          <w:sz w:val="24"/>
          <w:szCs w:val="24"/>
          <w:lang w:eastAsia="en-US"/>
        </w:rPr>
        <w:t xml:space="preserve">Компанією </w:t>
      </w:r>
      <w:r w:rsidRPr="00895A49">
        <w:rPr>
          <w:rFonts w:ascii="Times New Roman" w:hAnsi="Times New Roman" w:cs="Times New Roman"/>
          <w:color w:val="333333"/>
          <w:sz w:val="24"/>
          <w:szCs w:val="24"/>
          <w:shd w:val="clear" w:color="auto" w:fill="FFFFFF"/>
        </w:rPr>
        <w:t>прийнято рішення про незастосування коригувань фінансового результату до оподаткування на усі різниці (крім від’ємного значення об’єкта оподаткування минулих податкових (звітних) років), визначені відповідно до положень розділу ІІІ ПКУ.</w:t>
      </w:r>
    </w:p>
    <w:p w:rsidR="00895A49" w:rsidRPr="00895A49" w:rsidRDefault="00895A49" w:rsidP="00895A49">
      <w:pPr>
        <w:widowControl w:val="0"/>
        <w:spacing w:after="0" w:line="240" w:lineRule="auto"/>
        <w:jc w:val="both"/>
        <w:rPr>
          <w:rFonts w:ascii="Times New Roman" w:hAnsi="Times New Roman" w:cs="Times New Roman"/>
          <w:b/>
          <w:sz w:val="24"/>
          <w:szCs w:val="24"/>
        </w:rPr>
      </w:pPr>
      <w:r w:rsidRPr="00895A49">
        <w:rPr>
          <w:rFonts w:ascii="Times New Roman" w:hAnsi="Times New Roman" w:cs="Times New Roman"/>
          <w:b/>
          <w:sz w:val="24"/>
          <w:szCs w:val="24"/>
        </w:rPr>
        <w:t>7. Примітки до Звіту про рух грошових коштів (за прямим методом)</w:t>
      </w:r>
    </w:p>
    <w:p w:rsidR="00895A49" w:rsidRPr="00895A49" w:rsidRDefault="00895A49" w:rsidP="00895A49">
      <w:pPr>
        <w:widowControl w:val="0"/>
        <w:spacing w:after="0" w:line="240" w:lineRule="auto"/>
        <w:jc w:val="both"/>
        <w:rPr>
          <w:rFonts w:ascii="Times New Roman" w:hAnsi="Times New Roman" w:cs="Times New Roman"/>
          <w:b/>
          <w:i/>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7.1 Інші надходження (р. 3095)</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Інші надходження за звітний період, представлені наступним чином:</w:t>
      </w:r>
    </w:p>
    <w:tbl>
      <w:tblPr>
        <w:tblW w:w="9781" w:type="dxa"/>
        <w:tblInd w:w="108" w:type="dxa"/>
        <w:tblLook w:val="04A0"/>
      </w:tblPr>
      <w:tblGrid>
        <w:gridCol w:w="5812"/>
        <w:gridCol w:w="2268"/>
        <w:gridCol w:w="1701"/>
      </w:tblGrid>
      <w:tr w:rsidR="00895A49" w:rsidRPr="00895A49" w:rsidTr="00410EA4">
        <w:trPr>
          <w:trHeight w:val="324"/>
        </w:trPr>
        <w:tc>
          <w:tcPr>
            <w:tcW w:w="5812"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w:t>
            </w:r>
          </w:p>
        </w:tc>
        <w:tc>
          <w:tcPr>
            <w:tcW w:w="2268"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701"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12"/>
        </w:trPr>
        <w:tc>
          <w:tcPr>
            <w:tcW w:w="5812"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Страхові премії згідно договору доручення про надання агентських послуг по страхуванню               </w:t>
            </w:r>
          </w:p>
        </w:tc>
        <w:tc>
          <w:tcPr>
            <w:tcW w:w="2268"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7</w:t>
            </w:r>
          </w:p>
        </w:tc>
        <w:tc>
          <w:tcPr>
            <w:tcW w:w="1701"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14</w:t>
            </w:r>
          </w:p>
        </w:tc>
      </w:tr>
      <w:tr w:rsidR="00895A49" w:rsidRPr="00895A49" w:rsidTr="00410EA4">
        <w:trPr>
          <w:trHeight w:val="312"/>
        </w:trPr>
        <w:tc>
          <w:tcPr>
            <w:tcW w:w="5812" w:type="dxa"/>
            <w:tcBorders>
              <w:top w:val="single" w:sz="4" w:space="0" w:color="auto"/>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2268" w:type="dxa"/>
            <w:tcBorders>
              <w:top w:val="single" w:sz="4" w:space="0" w:color="auto"/>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7</w:t>
            </w:r>
          </w:p>
        </w:tc>
        <w:tc>
          <w:tcPr>
            <w:tcW w:w="1701" w:type="dxa"/>
            <w:tcBorders>
              <w:top w:val="single" w:sz="4" w:space="0" w:color="auto"/>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lang w:val="ru-RU"/>
              </w:rPr>
              <w:t>14</w:t>
            </w:r>
          </w:p>
        </w:tc>
      </w:tr>
    </w:tbl>
    <w:p w:rsidR="00895A49" w:rsidRPr="00895A49" w:rsidRDefault="00895A49" w:rsidP="00895A49">
      <w:pPr>
        <w:widowControl w:val="0"/>
        <w:spacing w:after="0" w:line="240" w:lineRule="auto"/>
        <w:jc w:val="both"/>
        <w:rPr>
          <w:rFonts w:ascii="Times New Roman" w:hAnsi="Times New Roman" w:cs="Times New Roman"/>
          <w:b/>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7.2Інші витрачання (р. 3190)</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Інші витрачання за звітний період, представлені наступним чином:</w:t>
      </w:r>
    </w:p>
    <w:tbl>
      <w:tblPr>
        <w:tblW w:w="9781" w:type="dxa"/>
        <w:tblInd w:w="108" w:type="dxa"/>
        <w:tblLook w:val="04A0"/>
      </w:tblPr>
      <w:tblGrid>
        <w:gridCol w:w="5812"/>
        <w:gridCol w:w="2268"/>
        <w:gridCol w:w="1701"/>
      </w:tblGrid>
      <w:tr w:rsidR="00895A49" w:rsidRPr="00895A49" w:rsidTr="00410EA4">
        <w:trPr>
          <w:trHeight w:val="324"/>
        </w:trPr>
        <w:tc>
          <w:tcPr>
            <w:tcW w:w="5812"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w:t>
            </w:r>
          </w:p>
        </w:tc>
        <w:tc>
          <w:tcPr>
            <w:tcW w:w="2268"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701" w:type="dxa"/>
            <w:tcBorders>
              <w:top w:val="nil"/>
              <w:left w:val="nil"/>
              <w:bottom w:val="single" w:sz="8" w:space="0" w:color="auto"/>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12"/>
        </w:trPr>
        <w:tc>
          <w:tcPr>
            <w:tcW w:w="5812"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Страхові премії згідно договору доручення про надання агентських послуг по страхуванню</w:t>
            </w:r>
          </w:p>
        </w:tc>
        <w:tc>
          <w:tcPr>
            <w:tcW w:w="2268"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7</w:t>
            </w:r>
          </w:p>
        </w:tc>
        <w:tc>
          <w:tcPr>
            <w:tcW w:w="1701"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12</w:t>
            </w:r>
          </w:p>
        </w:tc>
      </w:tr>
      <w:tr w:rsidR="00895A49" w:rsidRPr="00895A49" w:rsidTr="00410EA4">
        <w:trPr>
          <w:trHeight w:val="312"/>
        </w:trPr>
        <w:tc>
          <w:tcPr>
            <w:tcW w:w="5812"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Повернення страхової премії (продаж авто, скасування поїздки)</w:t>
            </w:r>
          </w:p>
        </w:tc>
        <w:tc>
          <w:tcPr>
            <w:tcW w:w="2268"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w:t>
            </w:r>
          </w:p>
        </w:tc>
        <w:tc>
          <w:tcPr>
            <w:tcW w:w="1701"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19</w:t>
            </w:r>
          </w:p>
        </w:tc>
      </w:tr>
      <w:tr w:rsidR="00895A49" w:rsidRPr="00895A49" w:rsidTr="00410EA4">
        <w:trPr>
          <w:trHeight w:val="312"/>
        </w:trPr>
        <w:tc>
          <w:tcPr>
            <w:tcW w:w="5812"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proofErr w:type="spellStart"/>
            <w:r w:rsidRPr="00895A49">
              <w:rPr>
                <w:rFonts w:ascii="Times New Roman" w:hAnsi="Times New Roman" w:cs="Times New Roman"/>
                <w:sz w:val="24"/>
                <w:szCs w:val="24"/>
              </w:rPr>
              <w:t>Актуарні</w:t>
            </w:r>
            <w:proofErr w:type="spellEnd"/>
            <w:r w:rsidRPr="00895A49">
              <w:rPr>
                <w:rFonts w:ascii="Times New Roman" w:hAnsi="Times New Roman" w:cs="Times New Roman"/>
                <w:sz w:val="24"/>
                <w:szCs w:val="24"/>
              </w:rPr>
              <w:t xml:space="preserve"> послуги</w:t>
            </w:r>
          </w:p>
        </w:tc>
        <w:tc>
          <w:tcPr>
            <w:tcW w:w="2268"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13</w:t>
            </w:r>
          </w:p>
        </w:tc>
        <w:tc>
          <w:tcPr>
            <w:tcW w:w="1701"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8</w:t>
            </w:r>
          </w:p>
        </w:tc>
      </w:tr>
      <w:tr w:rsidR="00895A49" w:rsidRPr="00895A49" w:rsidTr="00410EA4">
        <w:trPr>
          <w:trHeight w:val="312"/>
        </w:trPr>
        <w:tc>
          <w:tcPr>
            <w:tcW w:w="5812"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highlight w:val="yellow"/>
              </w:rPr>
            </w:pPr>
            <w:r w:rsidRPr="00895A49">
              <w:rPr>
                <w:rFonts w:ascii="Times New Roman" w:hAnsi="Times New Roman" w:cs="Times New Roman"/>
                <w:sz w:val="24"/>
                <w:szCs w:val="24"/>
              </w:rPr>
              <w:t>Інше</w:t>
            </w:r>
          </w:p>
        </w:tc>
        <w:tc>
          <w:tcPr>
            <w:tcW w:w="2268"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w:t>
            </w:r>
          </w:p>
        </w:tc>
        <w:tc>
          <w:tcPr>
            <w:tcW w:w="1701" w:type="dxa"/>
            <w:tcBorders>
              <w:top w:val="nil"/>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5</w:t>
            </w:r>
          </w:p>
        </w:tc>
      </w:tr>
      <w:tr w:rsidR="00895A49" w:rsidRPr="00895A49" w:rsidTr="00410EA4">
        <w:trPr>
          <w:trHeight w:val="312"/>
        </w:trPr>
        <w:tc>
          <w:tcPr>
            <w:tcW w:w="5812" w:type="dxa"/>
            <w:tcBorders>
              <w:top w:val="single" w:sz="4" w:space="0" w:color="auto"/>
              <w:left w:val="nil"/>
              <w:bottom w:val="nil"/>
              <w:right w:val="nil"/>
            </w:tcBorders>
            <w:shd w:val="clear" w:color="auto" w:fill="auto"/>
            <w:vAlign w:val="center"/>
            <w:hideMark/>
          </w:tcPr>
          <w:p w:rsidR="00895A49" w:rsidRPr="00895A49" w:rsidRDefault="00895A49" w:rsidP="00895A49">
            <w:pPr>
              <w:widowControl w:val="0"/>
              <w:spacing w:after="0" w:line="240" w:lineRule="auto"/>
              <w:jc w:val="both"/>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2268" w:type="dxa"/>
            <w:tcBorders>
              <w:top w:val="single" w:sz="4" w:space="0" w:color="auto"/>
              <w:left w:val="nil"/>
              <w:bottom w:val="nil"/>
              <w:right w:val="nil"/>
            </w:tcBorders>
            <w:shd w:val="clear" w:color="auto" w:fill="auto"/>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22</w:t>
            </w:r>
          </w:p>
        </w:tc>
        <w:tc>
          <w:tcPr>
            <w:tcW w:w="1701" w:type="dxa"/>
            <w:tcBorders>
              <w:top w:val="single" w:sz="4" w:space="0" w:color="auto"/>
              <w:left w:val="nil"/>
              <w:bottom w:val="nil"/>
              <w:right w:val="nil"/>
            </w:tcBorders>
            <w:shd w:val="clear" w:color="auto" w:fill="auto"/>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lang w:val="ru-RU"/>
              </w:rPr>
              <w:t>44</w:t>
            </w:r>
          </w:p>
        </w:tc>
      </w:tr>
    </w:tbl>
    <w:p w:rsidR="00895A49" w:rsidRPr="00895A49" w:rsidRDefault="00895A49" w:rsidP="00895A49">
      <w:pPr>
        <w:widowControl w:val="0"/>
        <w:spacing w:after="0" w:line="240" w:lineRule="auto"/>
        <w:jc w:val="both"/>
        <w:rPr>
          <w:rFonts w:ascii="Times New Roman" w:hAnsi="Times New Roman" w:cs="Times New Roman"/>
          <w:b/>
          <w:sz w:val="24"/>
          <w:szCs w:val="24"/>
        </w:rPr>
      </w:pPr>
    </w:p>
    <w:p w:rsidR="00895A49" w:rsidRPr="00895A49" w:rsidRDefault="00895A49" w:rsidP="00895A49">
      <w:pPr>
        <w:pStyle w:val="af6"/>
        <w:widowControl w:val="0"/>
        <w:spacing w:before="0" w:beforeAutospacing="0" w:after="0" w:afterAutospacing="0"/>
        <w:jc w:val="both"/>
        <w:rPr>
          <w:b/>
          <w:lang w:val="uk-UA"/>
        </w:rPr>
      </w:pPr>
      <w:r w:rsidRPr="00895A49">
        <w:rPr>
          <w:b/>
          <w:lang w:val="uk-UA"/>
        </w:rPr>
        <w:t>8. Операції з пов’язаними особами</w:t>
      </w:r>
    </w:p>
    <w:p w:rsidR="00895A49" w:rsidRPr="00895A49" w:rsidRDefault="00895A49" w:rsidP="00895A49">
      <w:pPr>
        <w:pStyle w:val="af6"/>
        <w:widowControl w:val="0"/>
        <w:spacing w:before="0" w:beforeAutospacing="0" w:after="0" w:afterAutospacing="0"/>
        <w:jc w:val="both"/>
        <w:rPr>
          <w:lang w:val="uk-UA"/>
        </w:rPr>
      </w:pPr>
      <w:r w:rsidRPr="00895A49">
        <w:rPr>
          <w:lang w:val="uk-UA"/>
        </w:rPr>
        <w:t xml:space="preserve">Протягом звітних періодів пов’язаними сторонами були акціонери Компанії, частка володіння яких становить понад 20%. </w:t>
      </w: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pStyle w:val="1"/>
        <w:widowControl w:val="0"/>
        <w:pBdr>
          <w:bottom w:val="none" w:sz="0" w:space="0" w:color="auto"/>
        </w:pBdr>
        <w:spacing w:before="0"/>
        <w:jc w:val="both"/>
        <w:rPr>
          <w:rFonts w:ascii="Times New Roman" w:hAnsi="Times New Roman"/>
          <w:b/>
          <w:caps w:val="0"/>
          <w:color w:val="auto"/>
          <w:spacing w:val="0"/>
          <w:sz w:val="24"/>
          <w:szCs w:val="24"/>
        </w:rPr>
      </w:pPr>
      <w:r w:rsidRPr="00895A49">
        <w:rPr>
          <w:rFonts w:ascii="Times New Roman" w:hAnsi="Times New Roman"/>
          <w:b/>
          <w:caps w:val="0"/>
          <w:color w:val="auto"/>
          <w:spacing w:val="0"/>
          <w:sz w:val="24"/>
          <w:szCs w:val="24"/>
        </w:rPr>
        <w:t>9. Розкриття інформації щодо використання справедливої вартості</w:t>
      </w:r>
    </w:p>
    <w:p w:rsidR="00895A49" w:rsidRPr="00895A49" w:rsidRDefault="00895A49" w:rsidP="00895A49">
      <w:pPr>
        <w:pStyle w:val="af7"/>
        <w:widowControl w:val="0"/>
        <w:spacing w:after="0"/>
        <w:jc w:val="both"/>
        <w:rPr>
          <w:sz w:val="24"/>
          <w:szCs w:val="24"/>
        </w:rPr>
      </w:pPr>
      <w:r w:rsidRPr="00895A49">
        <w:rPr>
          <w:sz w:val="24"/>
          <w:szCs w:val="24"/>
        </w:rPr>
        <w:t>Справедлива вартість фінансових активів і фінансових зобов'язань, які обертаються на активному ринку, ґрунтується на котируваннях активних ринків або котируваннях дилерів. Для всіх інших фінансових інструментів,  Компанія визначає справедливу вартість із використанням методів оцінки.</w:t>
      </w:r>
    </w:p>
    <w:p w:rsidR="00895A49" w:rsidRPr="00895A49" w:rsidRDefault="00895A49" w:rsidP="00895A49">
      <w:pPr>
        <w:pStyle w:val="af7"/>
        <w:widowControl w:val="0"/>
        <w:spacing w:after="0"/>
        <w:jc w:val="both"/>
        <w:rPr>
          <w:sz w:val="24"/>
          <w:szCs w:val="24"/>
        </w:rPr>
      </w:pPr>
      <w:r w:rsidRPr="00895A49">
        <w:rPr>
          <w:sz w:val="24"/>
          <w:szCs w:val="24"/>
        </w:rPr>
        <w:t xml:space="preserve">Методи оцінки включають моделі оцінки чистої наведеної до теперішнього моменту вартості й дисконтування потоків грошових коштів, порівняння зі схожими інструментами, у відношенні яких відомі ринкові котирування, а також інші моделі оцінки. Допущення й дані, що використовуються для оцінки, включають </w:t>
      </w:r>
      <w:proofErr w:type="spellStart"/>
      <w:r w:rsidRPr="00895A49">
        <w:rPr>
          <w:sz w:val="24"/>
          <w:szCs w:val="24"/>
        </w:rPr>
        <w:t>безризикові</w:t>
      </w:r>
      <w:proofErr w:type="spellEnd"/>
      <w:r w:rsidRPr="00895A49">
        <w:rPr>
          <w:sz w:val="24"/>
          <w:szCs w:val="24"/>
        </w:rPr>
        <w:t xml:space="preserve"> й базові процентні ставки, кредитні </w:t>
      </w:r>
      <w:proofErr w:type="spellStart"/>
      <w:r w:rsidRPr="00895A49">
        <w:rPr>
          <w:sz w:val="24"/>
          <w:szCs w:val="24"/>
        </w:rPr>
        <w:t>спреди</w:t>
      </w:r>
      <w:proofErr w:type="spellEnd"/>
      <w:r w:rsidRPr="00895A49">
        <w:rPr>
          <w:sz w:val="24"/>
          <w:szCs w:val="24"/>
        </w:rPr>
        <w:t xml:space="preserve"> та інші премії, використовувані для оцінки ставок дисконтування котирування акцій і облігацій, валютні курси, фондові індекси, а також очікувані коливання цін і їх зіставлення. Методи оцінки спрямовані на визначення справедливої вартості, що відображає вартість фінансового інструмента  станом на звітну дату, яка була б визначена незалежними учасниками ринку.</w:t>
      </w:r>
    </w:p>
    <w:p w:rsidR="00895A49" w:rsidRPr="00895A49" w:rsidRDefault="00895A49" w:rsidP="00895A49">
      <w:pPr>
        <w:pStyle w:val="2"/>
        <w:widowControl w:val="0"/>
        <w:pBdr>
          <w:bottom w:val="none" w:sz="0" w:space="0" w:color="auto"/>
        </w:pBdr>
        <w:tabs>
          <w:tab w:val="left" w:pos="0"/>
        </w:tabs>
        <w:spacing w:before="0"/>
        <w:jc w:val="both"/>
        <w:rPr>
          <w:rFonts w:ascii="Times New Roman" w:hAnsi="Times New Roman"/>
          <w:i/>
          <w:caps w:val="0"/>
          <w:color w:val="auto"/>
          <w:spacing w:val="0"/>
        </w:rPr>
      </w:pPr>
      <w:r w:rsidRPr="00895A49">
        <w:rPr>
          <w:rFonts w:ascii="Times New Roman" w:hAnsi="Times New Roman"/>
          <w:i/>
          <w:caps w:val="0"/>
          <w:color w:val="auto"/>
          <w:spacing w:val="0"/>
        </w:rPr>
        <w:t>Ієрархія оцінок справедливої вартості</w:t>
      </w:r>
    </w:p>
    <w:p w:rsidR="00895A49" w:rsidRPr="00895A49" w:rsidRDefault="00895A49" w:rsidP="00895A49">
      <w:pPr>
        <w:pStyle w:val="af7"/>
        <w:widowControl w:val="0"/>
        <w:spacing w:after="0"/>
        <w:jc w:val="both"/>
        <w:rPr>
          <w:sz w:val="24"/>
          <w:szCs w:val="24"/>
        </w:rPr>
      </w:pPr>
      <w:r w:rsidRPr="00895A49">
        <w:rPr>
          <w:sz w:val="24"/>
          <w:szCs w:val="24"/>
        </w:rPr>
        <w:t>Компанія оцінює справедливу вартість фінансових інструментів, відображених у звіті про фінансовий стан з використанням наступної ієрархії оцінок справедливої вартості, що враховує істотність даних, використовуваних при формуванні зазначених оцінок.</w:t>
      </w:r>
    </w:p>
    <w:p w:rsidR="00895A49" w:rsidRPr="00895A49" w:rsidRDefault="00895A49" w:rsidP="00895A49">
      <w:pPr>
        <w:pStyle w:val="af7"/>
        <w:widowControl w:val="0"/>
        <w:spacing w:after="0"/>
        <w:jc w:val="both"/>
        <w:rPr>
          <w:sz w:val="24"/>
          <w:szCs w:val="24"/>
        </w:rPr>
      </w:pPr>
      <w:r w:rsidRPr="00895A49">
        <w:rPr>
          <w:sz w:val="24"/>
          <w:szCs w:val="24"/>
        </w:rPr>
        <w:t>Рівень 1: Котирування на активному ринку у відношенні ідентичних фінансових інструментів. Рівень 2: Методи оцінки, що базуються на ринкових даних, доступних безпосередньо (тобто котируваннях) або опосередковано (тобто даних, похідних від котирувань). Дана категорія включає інструменти, оцінювані з використанням: ринкових котирувань на активних ринках для схожих інструментів, ринкових котирувань для ідентичних або схожих інструментів на ринках, не розглянутих у якості активних, або інших методів оцінки, усі використовувані дані яких безпосередньо або опосередковано ґрунтуються на загальнодоступних ринкових даних.</w:t>
      </w:r>
    </w:p>
    <w:p w:rsidR="00895A49" w:rsidRPr="00895A49" w:rsidRDefault="00895A49" w:rsidP="00895A49">
      <w:pPr>
        <w:pStyle w:val="af7"/>
        <w:widowControl w:val="0"/>
        <w:spacing w:after="0"/>
        <w:jc w:val="both"/>
        <w:rPr>
          <w:sz w:val="24"/>
          <w:szCs w:val="24"/>
        </w:rPr>
      </w:pPr>
      <w:r w:rsidRPr="00895A49">
        <w:rPr>
          <w:sz w:val="24"/>
          <w:szCs w:val="24"/>
        </w:rPr>
        <w:t>Рівень 3: Методи оцінки, засновані на даних, які не є загальнодоступними на ринку. Дана категорія включає інструменти, оцінювані з використанням інформації, не заснованої на загальнодоступних ринкових даних, притому, що такі дані, що не є загальнодоступними на ринку, впливають на оцінку інструмента. Дана категорія включає інструменти, оцінювані на підставі котирувань для схожих інструментів, у відношенні яких потрібно використання істотних коригувань, що не є загальнодоступними на ринку, або суджень для відбиття різниці між інструментами.</w:t>
      </w:r>
    </w:p>
    <w:p w:rsidR="00895A49" w:rsidRPr="00895A49" w:rsidRDefault="00895A49" w:rsidP="00895A49">
      <w:pPr>
        <w:pStyle w:val="af7"/>
        <w:widowControl w:val="0"/>
        <w:spacing w:after="0"/>
        <w:jc w:val="both"/>
        <w:rPr>
          <w:sz w:val="24"/>
          <w:szCs w:val="24"/>
        </w:rPr>
      </w:pPr>
      <w:r w:rsidRPr="00895A49">
        <w:rPr>
          <w:sz w:val="24"/>
          <w:szCs w:val="24"/>
        </w:rPr>
        <w:t>В таблиці надалі наведений аналіз фінансових інструментів, відображених за справедливою вартістю в розрізі рівнів ієрархії справедливої вартості.</w:t>
      </w:r>
    </w:p>
    <w:p w:rsidR="00895A49" w:rsidRPr="00895A49" w:rsidRDefault="00895A49" w:rsidP="00895A49">
      <w:pPr>
        <w:pStyle w:val="af7"/>
        <w:widowControl w:val="0"/>
        <w:spacing w:after="0"/>
        <w:jc w:val="both"/>
        <w:rPr>
          <w:sz w:val="24"/>
          <w:szCs w:val="24"/>
        </w:rPr>
      </w:pPr>
      <w:r w:rsidRPr="00895A49">
        <w:rPr>
          <w:sz w:val="24"/>
          <w:szCs w:val="24"/>
        </w:rPr>
        <w:t>Станом на 31 березня 2022 р.:</w:t>
      </w:r>
    </w:p>
    <w:tbl>
      <w:tblPr>
        <w:tblW w:w="9844" w:type="dxa"/>
        <w:tblInd w:w="108" w:type="dxa"/>
        <w:tblLook w:val="04A0"/>
      </w:tblPr>
      <w:tblGrid>
        <w:gridCol w:w="2268"/>
        <w:gridCol w:w="1985"/>
        <w:gridCol w:w="2540"/>
        <w:gridCol w:w="2092"/>
        <w:gridCol w:w="959"/>
      </w:tblGrid>
      <w:tr w:rsidR="00895A49" w:rsidRPr="00895A49" w:rsidTr="00410EA4">
        <w:trPr>
          <w:trHeight w:val="1560"/>
        </w:trPr>
        <w:tc>
          <w:tcPr>
            <w:tcW w:w="2268"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w:t>
            </w:r>
          </w:p>
        </w:tc>
        <w:tc>
          <w:tcPr>
            <w:tcW w:w="1985"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 xml:space="preserve">Спостережувані ринкові ціни </w:t>
            </w:r>
            <w:r w:rsidRPr="00895A49">
              <w:rPr>
                <w:rFonts w:ascii="Times New Roman" w:hAnsi="Times New Roman" w:cs="Times New Roman"/>
                <w:b/>
                <w:bCs/>
                <w:sz w:val="24"/>
                <w:szCs w:val="24"/>
              </w:rPr>
              <w:br/>
              <w:t>(Рівень 1)</w:t>
            </w:r>
          </w:p>
        </w:tc>
        <w:tc>
          <w:tcPr>
            <w:tcW w:w="2540"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 xml:space="preserve">Розрахункові дані на основі спостережуваних ринкових цін </w:t>
            </w:r>
            <w:r w:rsidRPr="00895A49">
              <w:rPr>
                <w:rFonts w:ascii="Times New Roman" w:hAnsi="Times New Roman" w:cs="Times New Roman"/>
                <w:b/>
                <w:bCs/>
                <w:sz w:val="24"/>
                <w:szCs w:val="24"/>
              </w:rPr>
              <w:br/>
              <w:t>(Рівень 2)</w:t>
            </w:r>
          </w:p>
        </w:tc>
        <w:tc>
          <w:tcPr>
            <w:tcW w:w="2092"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Розрахункові дані не на основі спостережуваних ринкових цін</w:t>
            </w:r>
            <w:r w:rsidRPr="00895A49">
              <w:rPr>
                <w:rFonts w:ascii="Times New Roman" w:hAnsi="Times New Roman" w:cs="Times New Roman"/>
                <w:b/>
                <w:bCs/>
                <w:sz w:val="24"/>
                <w:szCs w:val="24"/>
              </w:rPr>
              <w:br/>
              <w:t>(Рівень 3)</w:t>
            </w:r>
          </w:p>
        </w:tc>
        <w:tc>
          <w:tcPr>
            <w:tcW w:w="959"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r>
      <w:tr w:rsidR="00895A49" w:rsidRPr="00895A49" w:rsidTr="00410EA4">
        <w:trPr>
          <w:trHeight w:val="312"/>
        </w:trPr>
        <w:tc>
          <w:tcPr>
            <w:tcW w:w="2268"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Фінансові активи, наявні для продажу</w:t>
            </w:r>
          </w:p>
        </w:tc>
        <w:tc>
          <w:tcPr>
            <w:tcW w:w="1985"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p>
        </w:tc>
        <w:tc>
          <w:tcPr>
            <w:tcW w:w="254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p>
        </w:tc>
        <w:tc>
          <w:tcPr>
            <w:tcW w:w="2092"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p>
        </w:tc>
        <w:tc>
          <w:tcPr>
            <w:tcW w:w="959"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p>
        </w:tc>
      </w:tr>
      <w:tr w:rsidR="00895A49" w:rsidRPr="00895A49" w:rsidTr="00410EA4">
        <w:trPr>
          <w:trHeight w:val="312"/>
        </w:trPr>
        <w:tc>
          <w:tcPr>
            <w:tcW w:w="2268"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Грошові кошти та їх еквіваленти</w:t>
            </w:r>
          </w:p>
        </w:tc>
        <w:tc>
          <w:tcPr>
            <w:tcW w:w="1985"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w:t>
            </w:r>
          </w:p>
        </w:tc>
        <w:tc>
          <w:tcPr>
            <w:tcW w:w="2540" w:type="dxa"/>
            <w:tcBorders>
              <w:top w:val="nil"/>
              <w:left w:val="nil"/>
              <w:bottom w:val="single" w:sz="4" w:space="0" w:color="auto"/>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46491</w:t>
            </w:r>
          </w:p>
        </w:tc>
        <w:tc>
          <w:tcPr>
            <w:tcW w:w="2092" w:type="dxa"/>
            <w:tcBorders>
              <w:top w:val="nil"/>
              <w:left w:val="nil"/>
              <w:bottom w:val="single" w:sz="4" w:space="0" w:color="auto"/>
              <w:right w:val="nil"/>
            </w:tcBorders>
            <w:shd w:val="clear" w:color="auto" w:fill="auto"/>
            <w:noWrap/>
            <w:vAlign w:val="bottom"/>
          </w:tcPr>
          <w:p w:rsidR="00895A49" w:rsidRPr="00895A49" w:rsidRDefault="00895A49" w:rsidP="00895A49">
            <w:pPr>
              <w:widowControl w:val="0"/>
              <w:spacing w:after="0" w:line="240" w:lineRule="auto"/>
              <w:jc w:val="center"/>
              <w:rPr>
                <w:rFonts w:ascii="Times New Roman" w:hAnsi="Times New Roman" w:cs="Times New Roman"/>
                <w:sz w:val="24"/>
                <w:szCs w:val="24"/>
              </w:rPr>
            </w:pPr>
          </w:p>
        </w:tc>
        <w:tc>
          <w:tcPr>
            <w:tcW w:w="959" w:type="dxa"/>
            <w:tcBorders>
              <w:top w:val="nil"/>
              <w:left w:val="nil"/>
              <w:bottom w:val="single" w:sz="4" w:space="0" w:color="auto"/>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46491</w:t>
            </w:r>
          </w:p>
        </w:tc>
      </w:tr>
      <w:tr w:rsidR="00895A49" w:rsidRPr="00895A49" w:rsidTr="00410EA4">
        <w:trPr>
          <w:trHeight w:val="312"/>
        </w:trPr>
        <w:tc>
          <w:tcPr>
            <w:tcW w:w="2268"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1985"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sz w:val="24"/>
                <w:szCs w:val="24"/>
              </w:rPr>
              <w:t>-</w:t>
            </w:r>
          </w:p>
        </w:tc>
        <w:tc>
          <w:tcPr>
            <w:tcW w:w="2540"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46491</w:t>
            </w:r>
          </w:p>
        </w:tc>
        <w:tc>
          <w:tcPr>
            <w:tcW w:w="2092"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center"/>
              <w:rPr>
                <w:rFonts w:ascii="Times New Roman" w:hAnsi="Times New Roman" w:cs="Times New Roman"/>
                <w:b/>
                <w:sz w:val="24"/>
                <w:szCs w:val="24"/>
              </w:rPr>
            </w:pPr>
          </w:p>
        </w:tc>
        <w:tc>
          <w:tcPr>
            <w:tcW w:w="959"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46491</w:t>
            </w:r>
          </w:p>
        </w:tc>
      </w:tr>
    </w:tbl>
    <w:p w:rsidR="00895A49" w:rsidRPr="00895A49" w:rsidRDefault="00895A49" w:rsidP="00895A49">
      <w:pPr>
        <w:pStyle w:val="af7"/>
        <w:widowControl w:val="0"/>
        <w:spacing w:after="0"/>
        <w:jc w:val="both"/>
        <w:rPr>
          <w:sz w:val="24"/>
          <w:szCs w:val="24"/>
        </w:rPr>
      </w:pPr>
      <w:r w:rsidRPr="00895A49">
        <w:rPr>
          <w:sz w:val="24"/>
          <w:szCs w:val="24"/>
        </w:rPr>
        <w:lastRenderedPageBreak/>
        <w:t>Станом на 31 березня 2021 р.:</w:t>
      </w:r>
    </w:p>
    <w:tbl>
      <w:tblPr>
        <w:tblW w:w="9844" w:type="dxa"/>
        <w:tblInd w:w="108" w:type="dxa"/>
        <w:tblLook w:val="04A0"/>
      </w:tblPr>
      <w:tblGrid>
        <w:gridCol w:w="2268"/>
        <w:gridCol w:w="1985"/>
        <w:gridCol w:w="2540"/>
        <w:gridCol w:w="2092"/>
        <w:gridCol w:w="959"/>
      </w:tblGrid>
      <w:tr w:rsidR="00895A49" w:rsidRPr="00895A49" w:rsidTr="00410EA4">
        <w:trPr>
          <w:trHeight w:val="1560"/>
        </w:trPr>
        <w:tc>
          <w:tcPr>
            <w:tcW w:w="2268"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w:t>
            </w:r>
          </w:p>
        </w:tc>
        <w:tc>
          <w:tcPr>
            <w:tcW w:w="1985"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 xml:space="preserve">Спостережувані ринкові ціни </w:t>
            </w:r>
            <w:r w:rsidRPr="00895A49">
              <w:rPr>
                <w:rFonts w:ascii="Times New Roman" w:hAnsi="Times New Roman" w:cs="Times New Roman"/>
                <w:b/>
                <w:bCs/>
                <w:sz w:val="24"/>
                <w:szCs w:val="24"/>
              </w:rPr>
              <w:br/>
              <w:t>(Рівень 1)</w:t>
            </w:r>
          </w:p>
        </w:tc>
        <w:tc>
          <w:tcPr>
            <w:tcW w:w="2540"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 xml:space="preserve">Розрахункові дані на основі спостережуваних ринкових цін </w:t>
            </w:r>
            <w:r w:rsidRPr="00895A49">
              <w:rPr>
                <w:rFonts w:ascii="Times New Roman" w:hAnsi="Times New Roman" w:cs="Times New Roman"/>
                <w:b/>
                <w:bCs/>
                <w:sz w:val="24"/>
                <w:szCs w:val="24"/>
              </w:rPr>
              <w:br/>
              <w:t>(Рівень 2)</w:t>
            </w:r>
          </w:p>
        </w:tc>
        <w:tc>
          <w:tcPr>
            <w:tcW w:w="2092"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Розрахункові дані не на основі спостережуваних ринкових цін</w:t>
            </w:r>
            <w:r w:rsidRPr="00895A49">
              <w:rPr>
                <w:rFonts w:ascii="Times New Roman" w:hAnsi="Times New Roman" w:cs="Times New Roman"/>
                <w:b/>
                <w:bCs/>
                <w:sz w:val="24"/>
                <w:szCs w:val="24"/>
              </w:rPr>
              <w:br/>
              <w:t>(Рівень 3)</w:t>
            </w:r>
          </w:p>
        </w:tc>
        <w:tc>
          <w:tcPr>
            <w:tcW w:w="959"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r>
      <w:tr w:rsidR="00895A49" w:rsidRPr="00895A49" w:rsidTr="00410EA4">
        <w:trPr>
          <w:trHeight w:val="312"/>
        </w:trPr>
        <w:tc>
          <w:tcPr>
            <w:tcW w:w="2268"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Фінансові активи, наявні для продажу</w:t>
            </w:r>
          </w:p>
        </w:tc>
        <w:tc>
          <w:tcPr>
            <w:tcW w:w="1985"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p>
        </w:tc>
        <w:tc>
          <w:tcPr>
            <w:tcW w:w="254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p>
        </w:tc>
        <w:tc>
          <w:tcPr>
            <w:tcW w:w="2092"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p>
        </w:tc>
        <w:tc>
          <w:tcPr>
            <w:tcW w:w="959"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p>
        </w:tc>
      </w:tr>
      <w:tr w:rsidR="00895A49" w:rsidRPr="00895A49" w:rsidTr="00410EA4">
        <w:trPr>
          <w:trHeight w:val="312"/>
        </w:trPr>
        <w:tc>
          <w:tcPr>
            <w:tcW w:w="2268"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Грошові кошти та їх еквіваленти</w:t>
            </w:r>
          </w:p>
        </w:tc>
        <w:tc>
          <w:tcPr>
            <w:tcW w:w="1985" w:type="dxa"/>
            <w:tcBorders>
              <w:top w:val="nil"/>
              <w:left w:val="nil"/>
              <w:bottom w:val="single" w:sz="4" w:space="0" w:color="auto"/>
              <w:right w:val="nil"/>
            </w:tcBorders>
            <w:shd w:val="clear" w:color="auto" w:fill="auto"/>
            <w:noWrap/>
            <w:vAlign w:val="bottom"/>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w:t>
            </w:r>
          </w:p>
        </w:tc>
        <w:tc>
          <w:tcPr>
            <w:tcW w:w="2540"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46696</w:t>
            </w:r>
          </w:p>
        </w:tc>
        <w:tc>
          <w:tcPr>
            <w:tcW w:w="2092"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w:t>
            </w:r>
          </w:p>
        </w:tc>
        <w:tc>
          <w:tcPr>
            <w:tcW w:w="959"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46696</w:t>
            </w:r>
          </w:p>
        </w:tc>
      </w:tr>
      <w:tr w:rsidR="00895A49" w:rsidRPr="00895A49" w:rsidTr="00410EA4">
        <w:trPr>
          <w:trHeight w:val="312"/>
        </w:trPr>
        <w:tc>
          <w:tcPr>
            <w:tcW w:w="2268"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1985"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center"/>
              <w:rPr>
                <w:rFonts w:ascii="Times New Roman" w:hAnsi="Times New Roman" w:cs="Times New Roman"/>
                <w:b/>
                <w:bCs/>
                <w:sz w:val="24"/>
                <w:szCs w:val="24"/>
              </w:rPr>
            </w:pPr>
            <w:r w:rsidRPr="00895A49">
              <w:rPr>
                <w:rFonts w:ascii="Times New Roman" w:hAnsi="Times New Roman" w:cs="Times New Roman"/>
                <w:sz w:val="24"/>
                <w:szCs w:val="24"/>
              </w:rPr>
              <w:t>-</w:t>
            </w:r>
          </w:p>
        </w:tc>
        <w:tc>
          <w:tcPr>
            <w:tcW w:w="254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b/>
                <w:bCs/>
                <w:sz w:val="24"/>
                <w:szCs w:val="24"/>
              </w:rPr>
              <w:t>46696</w:t>
            </w:r>
          </w:p>
        </w:tc>
        <w:tc>
          <w:tcPr>
            <w:tcW w:w="2092"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w:t>
            </w:r>
          </w:p>
        </w:tc>
        <w:tc>
          <w:tcPr>
            <w:tcW w:w="959"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46696</w:t>
            </w:r>
          </w:p>
        </w:tc>
      </w:tr>
    </w:tbl>
    <w:p w:rsidR="00895A49" w:rsidRPr="00895A49" w:rsidRDefault="00895A49" w:rsidP="00895A49">
      <w:pPr>
        <w:pStyle w:val="af7"/>
        <w:widowControl w:val="0"/>
        <w:spacing w:after="0"/>
        <w:jc w:val="both"/>
        <w:rPr>
          <w:sz w:val="24"/>
          <w:szCs w:val="24"/>
        </w:rPr>
      </w:pPr>
    </w:p>
    <w:p w:rsidR="00895A49" w:rsidRPr="00895A49" w:rsidRDefault="00895A49" w:rsidP="00895A49">
      <w:pPr>
        <w:pStyle w:val="af7"/>
        <w:widowControl w:val="0"/>
        <w:spacing w:after="0"/>
        <w:jc w:val="both"/>
        <w:rPr>
          <w:sz w:val="24"/>
          <w:szCs w:val="24"/>
        </w:rPr>
      </w:pPr>
      <w:r w:rsidRPr="00895A49">
        <w:rPr>
          <w:sz w:val="24"/>
          <w:szCs w:val="24"/>
        </w:rPr>
        <w:t>Справедлива вартість фінансових інструментів в порівнянні з їх балансовою вартістю:</w:t>
      </w:r>
    </w:p>
    <w:tbl>
      <w:tblPr>
        <w:tblW w:w="9781" w:type="dxa"/>
        <w:tblInd w:w="108" w:type="dxa"/>
        <w:tblLook w:val="04A0"/>
      </w:tblPr>
      <w:tblGrid>
        <w:gridCol w:w="3686"/>
        <w:gridCol w:w="1701"/>
        <w:gridCol w:w="1296"/>
        <w:gridCol w:w="1701"/>
        <w:gridCol w:w="1417"/>
      </w:tblGrid>
      <w:tr w:rsidR="00895A49" w:rsidRPr="00895A49" w:rsidTr="00410EA4">
        <w:trPr>
          <w:trHeight w:val="312"/>
        </w:trPr>
        <w:tc>
          <w:tcPr>
            <w:tcW w:w="3686"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p>
        </w:tc>
        <w:tc>
          <w:tcPr>
            <w:tcW w:w="2977" w:type="dxa"/>
            <w:gridSpan w:val="2"/>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Балансова вартість</w:t>
            </w:r>
          </w:p>
        </w:tc>
        <w:tc>
          <w:tcPr>
            <w:tcW w:w="3118" w:type="dxa"/>
            <w:gridSpan w:val="2"/>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Справедлива вартість</w:t>
            </w:r>
          </w:p>
        </w:tc>
      </w:tr>
      <w:tr w:rsidR="00895A49" w:rsidRPr="00895A49" w:rsidTr="00410EA4">
        <w:trPr>
          <w:trHeight w:val="312"/>
        </w:trPr>
        <w:tc>
          <w:tcPr>
            <w:tcW w:w="3686"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w:t>
            </w:r>
          </w:p>
        </w:tc>
        <w:tc>
          <w:tcPr>
            <w:tcW w:w="1701"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276"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c>
          <w:tcPr>
            <w:tcW w:w="1701"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1417"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12"/>
        </w:trPr>
        <w:tc>
          <w:tcPr>
            <w:tcW w:w="3686"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Поточна дебіторська заборгованість</w:t>
            </w:r>
          </w:p>
        </w:tc>
        <w:tc>
          <w:tcPr>
            <w:tcW w:w="1701"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210</w:t>
            </w:r>
          </w:p>
        </w:tc>
        <w:tc>
          <w:tcPr>
            <w:tcW w:w="1276"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654</w:t>
            </w:r>
          </w:p>
        </w:tc>
        <w:tc>
          <w:tcPr>
            <w:tcW w:w="1701"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210</w:t>
            </w:r>
          </w:p>
        </w:tc>
        <w:tc>
          <w:tcPr>
            <w:tcW w:w="1417"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654</w:t>
            </w:r>
          </w:p>
        </w:tc>
      </w:tr>
      <w:tr w:rsidR="00895A49" w:rsidRPr="00895A49" w:rsidTr="00410EA4">
        <w:trPr>
          <w:trHeight w:val="312"/>
        </w:trPr>
        <w:tc>
          <w:tcPr>
            <w:tcW w:w="3686"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Грошові кошти та їх еквіваленти</w:t>
            </w:r>
          </w:p>
        </w:tc>
        <w:tc>
          <w:tcPr>
            <w:tcW w:w="1701"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46491</w:t>
            </w:r>
          </w:p>
        </w:tc>
        <w:tc>
          <w:tcPr>
            <w:tcW w:w="1276"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46696</w:t>
            </w:r>
          </w:p>
        </w:tc>
        <w:tc>
          <w:tcPr>
            <w:tcW w:w="1701"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46491</w:t>
            </w:r>
          </w:p>
        </w:tc>
        <w:tc>
          <w:tcPr>
            <w:tcW w:w="1417"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46696</w:t>
            </w:r>
          </w:p>
        </w:tc>
      </w:tr>
      <w:tr w:rsidR="00895A49" w:rsidRPr="00895A49" w:rsidTr="00410EA4">
        <w:trPr>
          <w:trHeight w:val="312"/>
        </w:trPr>
        <w:tc>
          <w:tcPr>
            <w:tcW w:w="3686"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Поточна кредиторська заборгованість</w:t>
            </w:r>
          </w:p>
        </w:tc>
        <w:tc>
          <w:tcPr>
            <w:tcW w:w="1701"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661</w:t>
            </w:r>
          </w:p>
        </w:tc>
        <w:tc>
          <w:tcPr>
            <w:tcW w:w="1276"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398</w:t>
            </w:r>
          </w:p>
        </w:tc>
        <w:tc>
          <w:tcPr>
            <w:tcW w:w="1701"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661</w:t>
            </w:r>
          </w:p>
        </w:tc>
        <w:tc>
          <w:tcPr>
            <w:tcW w:w="1417"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398</w:t>
            </w:r>
          </w:p>
        </w:tc>
      </w:tr>
    </w:tbl>
    <w:p w:rsidR="00895A49" w:rsidRPr="00895A49" w:rsidRDefault="00895A49" w:rsidP="00895A49">
      <w:pPr>
        <w:pStyle w:val="af7"/>
        <w:widowControl w:val="0"/>
        <w:spacing w:after="0"/>
        <w:jc w:val="both"/>
        <w:rPr>
          <w:sz w:val="24"/>
          <w:szCs w:val="24"/>
        </w:rPr>
      </w:pPr>
      <w:r w:rsidRPr="00895A49">
        <w:rPr>
          <w:sz w:val="24"/>
          <w:szCs w:val="24"/>
        </w:rPr>
        <w:t>Справедливу вартість дебіторської та кредиторської заборгованості неможливо визначити достовірно, оскільки немає ринкового котирування цих активів.</w:t>
      </w:r>
    </w:p>
    <w:p w:rsidR="00895A49" w:rsidRPr="00895A49" w:rsidRDefault="00895A49" w:rsidP="00895A49">
      <w:pPr>
        <w:pStyle w:val="af7"/>
        <w:widowControl w:val="0"/>
        <w:spacing w:after="0"/>
        <w:jc w:val="both"/>
        <w:rPr>
          <w:sz w:val="24"/>
          <w:szCs w:val="24"/>
        </w:rPr>
      </w:pPr>
      <w:r w:rsidRPr="00895A49">
        <w:rPr>
          <w:sz w:val="24"/>
          <w:szCs w:val="24"/>
        </w:rPr>
        <w:t>Керівництво Компанії вважає, що наведені розкриття щодо застосування справедливої вартості є достатніми, і не вважає, що за межами фінансової звітності залишилась будь-яка суттєва інформація щодо застосування справедливої вартості, яка може бути корисною для користувачів фінансової звітності.</w:t>
      </w:r>
    </w:p>
    <w:p w:rsidR="00895A49" w:rsidRPr="00895A49" w:rsidRDefault="00895A49" w:rsidP="00895A49">
      <w:pPr>
        <w:pStyle w:val="Default"/>
        <w:widowControl w:val="0"/>
        <w:jc w:val="both"/>
        <w:rPr>
          <w:rFonts w:ascii="Times New Roman" w:hAnsi="Times New Roman" w:cs="Times New Roman"/>
          <w:b/>
          <w:color w:val="auto"/>
          <w:lang w:val="uk-UA" w:eastAsia="uk-UA"/>
        </w:rPr>
      </w:pPr>
    </w:p>
    <w:p w:rsidR="00895A49" w:rsidRPr="00895A49" w:rsidRDefault="00895A49" w:rsidP="00895A49">
      <w:pPr>
        <w:pStyle w:val="Default"/>
        <w:widowControl w:val="0"/>
        <w:jc w:val="both"/>
        <w:rPr>
          <w:rFonts w:ascii="Times New Roman" w:hAnsi="Times New Roman" w:cs="Times New Roman"/>
          <w:b/>
          <w:color w:val="auto"/>
          <w:lang w:val="uk-UA" w:eastAsia="uk-UA"/>
        </w:rPr>
      </w:pPr>
      <w:r w:rsidRPr="00895A49">
        <w:rPr>
          <w:rFonts w:ascii="Times New Roman" w:hAnsi="Times New Roman" w:cs="Times New Roman"/>
          <w:b/>
          <w:color w:val="auto"/>
          <w:lang w:val="uk-UA" w:eastAsia="uk-UA"/>
        </w:rPr>
        <w:t xml:space="preserve">10. Умовні зобов’язання </w:t>
      </w:r>
    </w:p>
    <w:p w:rsidR="00895A49" w:rsidRPr="00895A49" w:rsidRDefault="00895A49" w:rsidP="00895A49">
      <w:pPr>
        <w:pStyle w:val="Default"/>
        <w:widowControl w:val="0"/>
        <w:jc w:val="both"/>
        <w:rPr>
          <w:rFonts w:ascii="Times New Roman" w:hAnsi="Times New Roman" w:cs="Times New Roman"/>
          <w:b/>
          <w:i/>
          <w:color w:val="auto"/>
          <w:lang w:val="uk-UA" w:eastAsia="uk-UA"/>
        </w:rPr>
      </w:pPr>
      <w:r w:rsidRPr="00895A49">
        <w:rPr>
          <w:rFonts w:ascii="Times New Roman" w:hAnsi="Times New Roman" w:cs="Times New Roman"/>
          <w:b/>
          <w:i/>
          <w:color w:val="auto"/>
          <w:lang w:val="uk-UA" w:eastAsia="uk-UA"/>
        </w:rPr>
        <w:t xml:space="preserve">Непередбачені податкові зобов’язання </w:t>
      </w:r>
    </w:p>
    <w:p w:rsidR="00895A49" w:rsidRPr="00895A49" w:rsidRDefault="00895A49" w:rsidP="00895A49">
      <w:pPr>
        <w:pStyle w:val="Default"/>
        <w:widowControl w:val="0"/>
        <w:jc w:val="both"/>
        <w:rPr>
          <w:rFonts w:ascii="Times New Roman" w:hAnsi="Times New Roman" w:cs="Times New Roman"/>
          <w:color w:val="auto"/>
          <w:lang w:val="uk-UA" w:eastAsia="uk-UA"/>
        </w:rPr>
      </w:pPr>
      <w:r w:rsidRPr="00895A49">
        <w:rPr>
          <w:rFonts w:ascii="Times New Roman" w:hAnsi="Times New Roman" w:cs="Times New Roman"/>
          <w:color w:val="auto"/>
          <w:lang w:val="uk-UA" w:eastAsia="uk-UA"/>
        </w:rPr>
        <w:t xml:space="preserve">Компанія здійснює операції в одній  податковій юрисдикції України. Для української системи оподаткування характерним є наявність численних податків та законодавство, яке часто змінюється, може застосовуватися ретроспективно, мати різну інтерпретацію, а в деяких випадках є суперечливим. Нерідко виникають протиріччя у тлумаченні податкового законодавства між місцевою, обласною і державною податковими адміністраціями та між Національним банком України і Міністерством фінансів. Ці факти створюють значно серйозніші податкові ризики в Україні, ніж ті, які є типовими для країн з більш розвиненими системами оподаткування. </w:t>
      </w:r>
    </w:p>
    <w:p w:rsidR="00895A49" w:rsidRPr="00895A49" w:rsidRDefault="00895A49" w:rsidP="00895A49">
      <w:pPr>
        <w:pStyle w:val="Default"/>
        <w:widowControl w:val="0"/>
        <w:jc w:val="both"/>
        <w:rPr>
          <w:rFonts w:ascii="Times New Roman" w:hAnsi="Times New Roman" w:cs="Times New Roman"/>
          <w:color w:val="auto"/>
          <w:lang w:val="uk-UA" w:eastAsia="uk-UA"/>
        </w:rPr>
      </w:pPr>
      <w:r w:rsidRPr="00895A49">
        <w:rPr>
          <w:rFonts w:ascii="Times New Roman" w:hAnsi="Times New Roman" w:cs="Times New Roman"/>
          <w:color w:val="auto"/>
          <w:lang w:val="uk-UA" w:eastAsia="uk-UA"/>
        </w:rPr>
        <w:t xml:space="preserve">Управлінський персонал вважає, виходячи з його тлумачення податкового законодавства, офіційних роз’яснень і судових рішень, що податкові зобов’язання були належним чином відображені в обліку. Однак відповідні органи можуть інакше тлумачити зазначені вище положення, і, якщо вони зможуть довести обґрунтованість своїх тлумачень, виконання їх рішень може суттєво вплинути на цю фінансову звітність. </w:t>
      </w:r>
    </w:p>
    <w:p w:rsidR="00895A49" w:rsidRPr="00895A49" w:rsidRDefault="00895A49" w:rsidP="00895A49">
      <w:pPr>
        <w:widowControl w:val="0"/>
        <w:spacing w:after="0" w:line="240" w:lineRule="auto"/>
        <w:jc w:val="both"/>
        <w:rPr>
          <w:rFonts w:ascii="Times New Roman" w:hAnsi="Times New Roman" w:cs="Times New Roman"/>
          <w:b/>
          <w:sz w:val="24"/>
          <w:szCs w:val="24"/>
        </w:rPr>
      </w:pPr>
    </w:p>
    <w:p w:rsidR="00895A49" w:rsidRPr="00895A49" w:rsidRDefault="00895A49" w:rsidP="00895A49">
      <w:pPr>
        <w:widowControl w:val="0"/>
        <w:spacing w:after="0" w:line="240" w:lineRule="auto"/>
        <w:jc w:val="both"/>
        <w:rPr>
          <w:rFonts w:ascii="Times New Roman" w:hAnsi="Times New Roman" w:cs="Times New Roman"/>
          <w:b/>
          <w:sz w:val="24"/>
          <w:szCs w:val="24"/>
        </w:rPr>
      </w:pPr>
      <w:r w:rsidRPr="00895A49">
        <w:rPr>
          <w:rFonts w:ascii="Times New Roman" w:hAnsi="Times New Roman" w:cs="Times New Roman"/>
          <w:b/>
          <w:sz w:val="24"/>
          <w:szCs w:val="24"/>
        </w:rPr>
        <w:t>11.  Політика управління ризиками</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Управління ризиками є важливим фактором для страхового бізнесу  і є суттєвим елементом операцій Компанії. Діяльності Компанії притаманний страховий ризик та різні фінансові ризики, включаючи валютний ризик, ризик ліквідності, кредитний ризик,ринковий та процентний ризик.</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11.1 Управління ризиками, що виникають у зв’язку зі страховою діяльністю</w:t>
      </w:r>
    </w:p>
    <w:p w:rsidR="00895A49" w:rsidRPr="00895A49" w:rsidRDefault="00895A49" w:rsidP="00895A49">
      <w:pPr>
        <w:pStyle w:val="af6"/>
        <w:widowControl w:val="0"/>
        <w:spacing w:before="0" w:beforeAutospacing="0" w:after="0" w:afterAutospacing="0"/>
        <w:jc w:val="both"/>
        <w:rPr>
          <w:lang w:val="uk-UA"/>
        </w:rPr>
      </w:pPr>
      <w:r w:rsidRPr="00895A49">
        <w:rPr>
          <w:lang w:val="uk-UA"/>
        </w:rPr>
        <w:lastRenderedPageBreak/>
        <w:t>Основною діяльністю Компанії є страхова діяльність, що передбачає прийняття ризику втрат з боку іншої сторони чи організації, які напряму несуть ризики втрат. Такі ризики стосуються втрати власності, виникнення зобов’язань перед третіми особами, нещасних випадів та інших ситуацій, які можуть виникнути у разі настання страхового випадку. Основним ризиком є те, що частота виплат та тяжкість страхових збитків будуть більшими, ніж очікувалося. Страхові випадки мають невпорядкований характер, і фактична кількість та розмір страхових випадків протягом будь-якого одного року можуть відрізнятися від розрахункових показників, отриманих за допомогою різних статистичних методик.</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Компанія управляє ризиками, пов’язаними із здійсненням  страхової діяльності, шляхом використання існуючих статистичних методів, перестрахування концентрації ризиків, а також оперативний моніторинг.</w:t>
      </w:r>
    </w:p>
    <w:p w:rsidR="00895A49" w:rsidRPr="00895A49" w:rsidRDefault="00895A49" w:rsidP="00895A49">
      <w:pPr>
        <w:pStyle w:val="Default"/>
        <w:widowControl w:val="0"/>
        <w:jc w:val="both"/>
        <w:rPr>
          <w:rFonts w:ascii="Times New Roman" w:hAnsi="Times New Roman" w:cs="Times New Roman"/>
          <w:i/>
          <w:color w:val="auto"/>
          <w:lang w:val="uk-UA" w:eastAsia="uk-UA"/>
        </w:rPr>
      </w:pPr>
      <w:r w:rsidRPr="00895A49">
        <w:rPr>
          <w:rFonts w:ascii="Times New Roman" w:hAnsi="Times New Roman" w:cs="Times New Roman"/>
          <w:i/>
          <w:color w:val="auto"/>
          <w:lang w:val="uk-UA" w:eastAsia="uk-UA"/>
        </w:rPr>
        <w:t xml:space="preserve">Стратегія перестрахування </w:t>
      </w:r>
    </w:p>
    <w:p w:rsidR="00895A49" w:rsidRPr="00895A49" w:rsidRDefault="00895A49" w:rsidP="00895A49">
      <w:pPr>
        <w:pStyle w:val="Default"/>
        <w:widowControl w:val="0"/>
        <w:jc w:val="both"/>
        <w:rPr>
          <w:rFonts w:ascii="Times New Roman" w:hAnsi="Times New Roman" w:cs="Times New Roman"/>
          <w:color w:val="auto"/>
          <w:lang w:val="uk-UA" w:eastAsia="uk-UA"/>
        </w:rPr>
      </w:pPr>
      <w:r w:rsidRPr="00895A49">
        <w:rPr>
          <w:rFonts w:ascii="Times New Roman" w:hAnsi="Times New Roman" w:cs="Times New Roman"/>
          <w:color w:val="auto"/>
          <w:lang w:val="uk-UA" w:eastAsia="uk-UA"/>
        </w:rPr>
        <w:t xml:space="preserve">Компанія перестраховує частину ризиків, застрахованих за договорами страхування, з метою забезпечення контролю за ризиком понесення збитків і захисту своїх власних фондів. Компанія укладає договори для того щоб зменшити чистий ризик для Компанії до меж власного утримання, визначеного окремо по кожному з договорів перестрахування. </w:t>
      </w:r>
    </w:p>
    <w:p w:rsidR="00895A49" w:rsidRPr="00895A49" w:rsidRDefault="00895A49" w:rsidP="00895A49">
      <w:pPr>
        <w:pStyle w:val="Default"/>
        <w:widowControl w:val="0"/>
        <w:jc w:val="both"/>
        <w:rPr>
          <w:rFonts w:ascii="Times New Roman" w:hAnsi="Times New Roman" w:cs="Times New Roman"/>
          <w:color w:val="auto"/>
          <w:lang w:val="uk-UA" w:eastAsia="uk-UA"/>
        </w:rPr>
      </w:pPr>
      <w:r w:rsidRPr="00895A49">
        <w:rPr>
          <w:rFonts w:ascii="Times New Roman" w:hAnsi="Times New Roman" w:cs="Times New Roman"/>
          <w:color w:val="auto"/>
          <w:lang w:val="uk-UA" w:eastAsia="uk-UA"/>
        </w:rPr>
        <w:t xml:space="preserve">Основні цілі зовнішнього перестрахування включають зменшення впливу великих разових збитків за полісами з максимальним покриттям та великої кількості збитків, викликаних подією.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Премії, передані у перестрахування, несуть кредитний ризик, і відшкодування за договорами перестрахування відображається за вирахуванням неплатоспроможності та безнадійної заборгованості, про які стає відомо. Компанія здійснює постійний моніторинг фінансового стану перестраховиків та періодично переглядає укладені нею угоди перестрахування.</w:t>
      </w:r>
    </w:p>
    <w:p w:rsidR="00895A49" w:rsidRPr="00895A49" w:rsidRDefault="00895A49" w:rsidP="00895A49">
      <w:pPr>
        <w:pStyle w:val="Default"/>
        <w:widowControl w:val="0"/>
        <w:rPr>
          <w:rFonts w:ascii="Times New Roman" w:hAnsi="Times New Roman" w:cs="Times New Roman"/>
          <w:i/>
          <w:color w:val="auto"/>
          <w:lang w:val="uk-UA" w:eastAsia="uk-UA"/>
        </w:rPr>
      </w:pPr>
      <w:r w:rsidRPr="00895A49">
        <w:rPr>
          <w:rFonts w:ascii="Times New Roman" w:hAnsi="Times New Roman" w:cs="Times New Roman"/>
          <w:i/>
          <w:color w:val="auto"/>
          <w:lang w:val="uk-UA" w:eastAsia="uk-UA"/>
        </w:rPr>
        <w:t xml:space="preserve">Ціноутворення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Компанія встановлює премії на рівні, що забезпечує перевищення суми отриманих премій та отриманого інвестиційного доходу над загальною сумою збитків, витрат на врегулювання цих збитків та затрат на управління господарською діяльністю. Премії за полісами (ціноутворення) встановлюються із застосуванням статистичного аналізу на основі внутрішніх та зовнішніх історичних даних. Обґрунтованість ціноутворення тестується з використанням методології та основних показників діяльності по конкретних портфелях (наприклад, тестування прибутку).</w:t>
      </w:r>
    </w:p>
    <w:p w:rsidR="00895A49" w:rsidRPr="00895A49" w:rsidRDefault="00895A49" w:rsidP="00895A49">
      <w:pPr>
        <w:pStyle w:val="Default"/>
        <w:widowControl w:val="0"/>
        <w:rPr>
          <w:rFonts w:ascii="Times New Roman" w:hAnsi="Times New Roman" w:cs="Times New Roman"/>
          <w:i/>
          <w:color w:val="auto"/>
          <w:lang w:val="uk-UA" w:eastAsia="uk-UA"/>
        </w:rPr>
      </w:pPr>
      <w:r w:rsidRPr="00895A49">
        <w:rPr>
          <w:rFonts w:ascii="Times New Roman" w:hAnsi="Times New Roman" w:cs="Times New Roman"/>
          <w:i/>
          <w:color w:val="auto"/>
          <w:lang w:val="uk-UA" w:eastAsia="uk-UA"/>
        </w:rPr>
        <w:t xml:space="preserve">Концентрації ризиків, пов’язаних із страховою діяльністю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Основним аспектом страхового ризику, що постає перед Компанією, є обсяг концентрації страхового ризику, який може існувати, якщо конкретна подія або ряд подій суттєво вплинуть на зобов’язання Компанії. Така концентрація може виникнути у зв’язку з єдиним страховим контрактом або через ряд пов’язаних контрактів, що мають подібні характеристики ризику, і пов’язані з обставинами, в яких можуть виникнути суттєві зобов’язання. Важливим аспектом концентрації страхових ризиків є те, що вони можуть виникати внаслідок накопичення ризиків у зв’язку з кількома одиничними контрактами або пов’язаними контрактами.</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Компанія здійснює управління цими ризиками шляхом їх передачі у перестрахування. Компанія оцінює затрати та вигоди, пов’язані з програмою перестрахування, на постійній основі.</w:t>
      </w:r>
    </w:p>
    <w:p w:rsidR="00895A49" w:rsidRPr="00895A49" w:rsidRDefault="00895A49" w:rsidP="00895A49">
      <w:pPr>
        <w:pStyle w:val="Default"/>
        <w:widowControl w:val="0"/>
        <w:jc w:val="both"/>
        <w:rPr>
          <w:rFonts w:ascii="Times New Roman" w:hAnsi="Times New Roman" w:cs="Times New Roman"/>
          <w:i/>
          <w:color w:val="auto"/>
          <w:lang w:val="uk-UA" w:eastAsia="uk-UA"/>
        </w:rPr>
      </w:pPr>
      <w:r w:rsidRPr="00895A49">
        <w:rPr>
          <w:rFonts w:ascii="Times New Roman" w:hAnsi="Times New Roman" w:cs="Times New Roman"/>
          <w:i/>
          <w:color w:val="auto"/>
          <w:lang w:val="uk-UA" w:eastAsia="uk-UA"/>
        </w:rPr>
        <w:t xml:space="preserve">Ризик перестрахування </w:t>
      </w:r>
    </w:p>
    <w:p w:rsidR="00895A49" w:rsidRPr="00895A49" w:rsidRDefault="00895A49" w:rsidP="00895A49">
      <w:pPr>
        <w:pStyle w:val="Default"/>
        <w:widowControl w:val="0"/>
        <w:jc w:val="both"/>
        <w:rPr>
          <w:rFonts w:ascii="Times New Roman" w:hAnsi="Times New Roman" w:cs="Times New Roman"/>
          <w:color w:val="auto"/>
          <w:lang w:val="uk-UA" w:eastAsia="uk-UA"/>
        </w:rPr>
      </w:pPr>
      <w:r w:rsidRPr="00895A49">
        <w:rPr>
          <w:rFonts w:ascii="Times New Roman" w:hAnsi="Times New Roman" w:cs="Times New Roman"/>
          <w:color w:val="auto"/>
          <w:lang w:val="uk-UA" w:eastAsia="uk-UA"/>
        </w:rPr>
        <w:t xml:space="preserve">Компанія передає страхові ризики у перестрахування з метою обмежити ризик виникнення збитків у зв’язку із страховою діяльністю. Для цього Компанією укладаються договори перестрахування, що охоплюють портфельні ризики. Укладення таких договорів перестрахування дозволяє розподілити ризики та мінімізувати вплив збитків. За умовами договорів перестрахування, перестраховик погоджується відшкодувати суму, передану у перестрахування, у разі, якщо здійснюється виплата страхових збитків. У той же час Компанія продовжує нести свої зобов’язання перед власниками страхових полісів за контрактом, переданим у перестрахування, у разі невиконання перестраховиком взятих на себе зобов’язань.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При виборі перестраховика Компанія бере до уваги його відносну платоспроможність. Платоспроможність оцінюється на основі відкритої інформації про рейтинги, а також на основі внутрішніх досліджень.</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lastRenderedPageBreak/>
        <w:t>11.2 Управління фінансовими ризиками</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Кредитний ризик</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Компанія приймає на себе кредитний ризик, що являє собою ризик зменшення вартості внаслідок негативних змін спроможності позичальника погасити заборгованість. </w:t>
      </w:r>
    </w:p>
    <w:p w:rsidR="00895A49" w:rsidRPr="00895A49" w:rsidRDefault="00895A49" w:rsidP="00895A49">
      <w:pPr>
        <w:widowControl w:val="0"/>
        <w:spacing w:after="0" w:line="240" w:lineRule="auto"/>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 xml:space="preserve">Компанія може зробити припущення про те, що кредитний ризик за фінансовим інструментом не зазнав значного зростання з моменту первісного визнання, якщо було з'ясовано, що фінансовий інструмент </w:t>
      </w:r>
      <w:r w:rsidRPr="00895A49">
        <w:rPr>
          <w:rFonts w:ascii="Times New Roman" w:hAnsi="Times New Roman" w:cs="Times New Roman"/>
          <w:bCs/>
          <w:color w:val="000000"/>
          <w:sz w:val="24"/>
          <w:szCs w:val="24"/>
          <w:lang w:bidi="uk-UA"/>
        </w:rPr>
        <w:t>має низький рівень кредитного ризику станом на звітну дату.</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Максимальний рівень кредитного ризику відображається балансовою вартістю фінансових активів та активів, що виникають за договорами страхування, визнаних на звітну дату. З метою зменшення ризику несплати власниками страхових полісів належних сум усі поліси містять спеціальні положення, згідно яких у разі несплати страхових внесків у визначені строки, страховий поліс анулюється. Кредитний ризик залежить головним чином, від індивідуальних характеристик кожного клієнта. Управлінський персонал затвердив кредитну політику, згідно з якою кожна окрема страхова компанія, з якою планується укласти договір страхування, підлягає індивідуальному аналізу на предмет платоспроможності перед тим, як з нею буде укладений договір. Такий аналіз охоплює огляд зовнішніх рейтингів, репутації на ринку та іншої опублікованої інформації.</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При здійсненні моніторингу кредитного ризику, пов’язаного з утримувачами полісів, клієнти поділяється на групи за типами страхування в розрізі їх кредитних рейтингів та платіжної поведінки. Страхові поліси є дійсними тільки за умови внесення страхових премій власником поліса із дотриманням графіку платежів.</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Для інших клієнтів управлінський  персонал затвердив кредитну політику, згідно з якою ці клієнти проходять індивідуальну оцінку платоспроможності, за результатами якої їм надаються певні умови відстрочки сплати страхових премій.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Компанія також оцінює кредитоспроможність усіх перестраховиків шляхом вивчення інформації щодо рейтингів та проведення внутрішніх досліджень.</w:t>
      </w:r>
    </w:p>
    <w:p w:rsidR="00895A49" w:rsidRPr="00895A49" w:rsidRDefault="00895A49" w:rsidP="00895A49">
      <w:pPr>
        <w:widowControl w:val="0"/>
        <w:spacing w:after="0" w:line="240" w:lineRule="auto"/>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Компанія відносно банківських депозитів має наступну модель розрахунку збитку від знецінення фінансового активу:</w:t>
      </w:r>
    </w:p>
    <w:p w:rsidR="00895A49" w:rsidRPr="00895A49" w:rsidRDefault="00895A49" w:rsidP="00895A49">
      <w:pPr>
        <w:widowControl w:val="0"/>
        <w:spacing w:after="0" w:line="240" w:lineRule="auto"/>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 xml:space="preserve">при розміщенні депозиту в банку з високою надійністю (інвестиційний рівень рейтингу </w:t>
      </w:r>
      <w:proofErr w:type="spellStart"/>
      <w:r w:rsidRPr="00895A49">
        <w:rPr>
          <w:rFonts w:ascii="Times New Roman" w:hAnsi="Times New Roman" w:cs="Times New Roman"/>
          <w:color w:val="000000"/>
          <w:sz w:val="24"/>
          <w:szCs w:val="24"/>
          <w:lang w:val="en-US" w:eastAsia="en-US" w:bidi="en-US"/>
        </w:rPr>
        <w:t>uaAAA</w:t>
      </w:r>
      <w:proofErr w:type="spellEnd"/>
      <w:r w:rsidRPr="00895A49">
        <w:rPr>
          <w:rFonts w:ascii="Times New Roman" w:hAnsi="Times New Roman" w:cs="Times New Roman"/>
          <w:color w:val="000000"/>
          <w:sz w:val="24"/>
          <w:szCs w:val="24"/>
          <w:lang w:eastAsia="en-US" w:bidi="en-US"/>
        </w:rPr>
        <w:t xml:space="preserve">, </w:t>
      </w:r>
      <w:proofErr w:type="spellStart"/>
      <w:r w:rsidRPr="00895A49">
        <w:rPr>
          <w:rFonts w:ascii="Times New Roman" w:hAnsi="Times New Roman" w:cs="Times New Roman"/>
          <w:color w:val="000000"/>
          <w:sz w:val="24"/>
          <w:szCs w:val="24"/>
          <w:lang w:val="en-US" w:eastAsia="en-US" w:bidi="en-US"/>
        </w:rPr>
        <w:t>uaAA</w:t>
      </w:r>
      <w:proofErr w:type="spellEnd"/>
      <w:r w:rsidRPr="00895A49">
        <w:rPr>
          <w:rFonts w:ascii="Times New Roman" w:hAnsi="Times New Roman" w:cs="Times New Roman"/>
          <w:color w:val="000000"/>
          <w:sz w:val="24"/>
          <w:szCs w:val="24"/>
          <w:lang w:eastAsia="en-US" w:bidi="en-US"/>
        </w:rPr>
        <w:t xml:space="preserve">, </w:t>
      </w:r>
      <w:proofErr w:type="spellStart"/>
      <w:r w:rsidRPr="00895A49">
        <w:rPr>
          <w:rFonts w:ascii="Times New Roman" w:hAnsi="Times New Roman" w:cs="Times New Roman"/>
          <w:color w:val="000000"/>
          <w:sz w:val="24"/>
          <w:szCs w:val="24"/>
          <w:lang w:val="en-US" w:eastAsia="en-US" w:bidi="en-US"/>
        </w:rPr>
        <w:t>uaA</w:t>
      </w:r>
      <w:proofErr w:type="spellEnd"/>
      <w:r w:rsidRPr="00895A49">
        <w:rPr>
          <w:rFonts w:ascii="Times New Roman" w:hAnsi="Times New Roman" w:cs="Times New Roman"/>
          <w:color w:val="000000"/>
          <w:sz w:val="24"/>
          <w:szCs w:val="24"/>
          <w:lang w:eastAsia="en-US" w:bidi="en-US"/>
        </w:rPr>
        <w:t xml:space="preserve">, </w:t>
      </w:r>
      <w:proofErr w:type="spellStart"/>
      <w:r w:rsidRPr="00895A49">
        <w:rPr>
          <w:rFonts w:ascii="Times New Roman" w:hAnsi="Times New Roman" w:cs="Times New Roman"/>
          <w:color w:val="000000"/>
          <w:sz w:val="24"/>
          <w:szCs w:val="24"/>
          <w:lang w:val="en-US" w:eastAsia="en-US" w:bidi="en-US"/>
        </w:rPr>
        <w:t>uaBBB</w:t>
      </w:r>
      <w:proofErr w:type="spellEnd"/>
      <w:r w:rsidRPr="00895A49">
        <w:rPr>
          <w:rFonts w:ascii="Times New Roman" w:hAnsi="Times New Roman" w:cs="Times New Roman"/>
          <w:color w:val="000000"/>
          <w:sz w:val="24"/>
          <w:szCs w:val="24"/>
          <w:lang w:bidi="uk-UA"/>
        </w:rPr>
        <w:t xml:space="preserve">та банки, що мають прогноз «стабільний», що присвоюється рейтинговими агентствами, які внесені до Державного реєстру уповноважених рейтингових агентств НКЦПФР) на дату розміщення коштів резерв збитків розраховується в залежності від строку та умов розміщення (при розміщенні від 1 до 3-х місяців - розмір збитку складає </w:t>
      </w:r>
      <w:r w:rsidRPr="00895A49">
        <w:rPr>
          <w:rFonts w:ascii="Times New Roman" w:hAnsi="Times New Roman" w:cs="Times New Roman"/>
          <w:color w:val="000000"/>
          <w:sz w:val="24"/>
          <w:szCs w:val="24"/>
          <w:u w:val="single"/>
          <w:lang w:bidi="uk-UA"/>
        </w:rPr>
        <w:t>0%</w:t>
      </w:r>
      <w:r w:rsidRPr="00895A49">
        <w:rPr>
          <w:rFonts w:ascii="Times New Roman" w:hAnsi="Times New Roman" w:cs="Times New Roman"/>
          <w:color w:val="000000"/>
          <w:sz w:val="24"/>
          <w:szCs w:val="24"/>
          <w:lang w:bidi="uk-UA"/>
        </w:rPr>
        <w:t>, від 3-х місяців до 1 року - 1% від суми розміщення, більше 1 року - 2%);</w:t>
      </w:r>
    </w:p>
    <w:p w:rsidR="00895A49" w:rsidRPr="00895A49" w:rsidRDefault="00895A49" w:rsidP="00895A49">
      <w:pPr>
        <w:widowControl w:val="0"/>
        <w:spacing w:after="0" w:line="240" w:lineRule="auto"/>
        <w:jc w:val="both"/>
        <w:rPr>
          <w:rFonts w:ascii="Times New Roman" w:hAnsi="Times New Roman" w:cs="Times New Roman"/>
          <w:color w:val="000000"/>
          <w:sz w:val="24"/>
          <w:szCs w:val="24"/>
          <w:lang w:bidi="uk-UA"/>
        </w:rPr>
      </w:pPr>
      <w:r w:rsidRPr="00895A49">
        <w:rPr>
          <w:rFonts w:ascii="Times New Roman" w:hAnsi="Times New Roman" w:cs="Times New Roman"/>
          <w:color w:val="000000"/>
          <w:sz w:val="24"/>
          <w:szCs w:val="24"/>
          <w:lang w:bidi="uk-UA"/>
        </w:rPr>
        <w:t>при розміщенні депозиту в банку з більш низьким кредитним рейтингом (спекулятивний рівень рейтингу, що присвоюється рейтинговими агентствами, які внесені до Державного реєстру уповноважених рейтингових агентств НКЦПФР) на дату розміщення коштів резерв збитку розраховується у розмірі від 7% до 20% від суми вкладу в залежності від оцінки ризиків.</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color w:val="000000"/>
          <w:sz w:val="24"/>
          <w:szCs w:val="24"/>
          <w:lang w:bidi="uk-UA"/>
        </w:rPr>
        <w:t>Компанія зберігає свої грошові кошти в банках з рейтингом не нижче АА (див. примітку 5.6).</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Максимальна сума кредитного ризику станом на 31 березня 2022 р. та на 31 березня 2021 р. була представлена таким чином:</w:t>
      </w:r>
    </w:p>
    <w:p w:rsidR="00895A49" w:rsidRPr="00895A49" w:rsidRDefault="00895A49" w:rsidP="00895A49">
      <w:pPr>
        <w:widowControl w:val="0"/>
        <w:spacing w:after="0" w:line="240" w:lineRule="auto"/>
        <w:jc w:val="both"/>
        <w:rPr>
          <w:rFonts w:ascii="Times New Roman" w:hAnsi="Times New Roman" w:cs="Times New Roman"/>
          <w:sz w:val="24"/>
          <w:szCs w:val="24"/>
        </w:rPr>
      </w:pPr>
    </w:p>
    <w:tbl>
      <w:tblPr>
        <w:tblW w:w="9823" w:type="dxa"/>
        <w:tblInd w:w="108" w:type="dxa"/>
        <w:tblLook w:val="04A0"/>
      </w:tblPr>
      <w:tblGrid>
        <w:gridCol w:w="5103"/>
        <w:gridCol w:w="2180"/>
        <w:gridCol w:w="2540"/>
      </w:tblGrid>
      <w:tr w:rsidR="00895A49" w:rsidRPr="00895A49" w:rsidTr="00410EA4">
        <w:trPr>
          <w:trHeight w:val="312"/>
        </w:trPr>
        <w:tc>
          <w:tcPr>
            <w:tcW w:w="5103"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Активи у звіті про фінансовий стан</w:t>
            </w:r>
          </w:p>
        </w:tc>
        <w:tc>
          <w:tcPr>
            <w:tcW w:w="2180"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2540" w:type="dxa"/>
            <w:tcBorders>
              <w:top w:val="nil"/>
              <w:left w:val="nil"/>
              <w:bottom w:val="single" w:sz="4" w:space="0" w:color="auto"/>
              <w:right w:val="nil"/>
            </w:tcBorders>
            <w:vAlign w:val="bottom"/>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12"/>
        </w:trPr>
        <w:tc>
          <w:tcPr>
            <w:tcW w:w="5103"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Торгівельна дебіторська заборгованість, чиста</w:t>
            </w:r>
          </w:p>
        </w:tc>
        <w:tc>
          <w:tcPr>
            <w:tcW w:w="2180"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20</w:t>
            </w:r>
          </w:p>
        </w:tc>
        <w:tc>
          <w:tcPr>
            <w:tcW w:w="2540" w:type="dxa"/>
            <w:tcBorders>
              <w:top w:val="nil"/>
              <w:left w:val="nil"/>
              <w:bottom w:val="nil"/>
              <w:right w:val="nil"/>
            </w:tcBorders>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362</w:t>
            </w:r>
          </w:p>
        </w:tc>
      </w:tr>
      <w:tr w:rsidR="00895A49" w:rsidRPr="00895A49" w:rsidTr="00410EA4">
        <w:trPr>
          <w:trHeight w:val="312"/>
        </w:trPr>
        <w:tc>
          <w:tcPr>
            <w:tcW w:w="5103"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Інша дебіторська заборгованість</w:t>
            </w:r>
          </w:p>
        </w:tc>
        <w:tc>
          <w:tcPr>
            <w:tcW w:w="2180"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190</w:t>
            </w:r>
          </w:p>
        </w:tc>
        <w:tc>
          <w:tcPr>
            <w:tcW w:w="2540" w:type="dxa"/>
            <w:tcBorders>
              <w:top w:val="nil"/>
              <w:left w:val="nil"/>
              <w:bottom w:val="nil"/>
              <w:right w:val="nil"/>
            </w:tcBorders>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292</w:t>
            </w:r>
          </w:p>
        </w:tc>
      </w:tr>
      <w:tr w:rsidR="00895A49" w:rsidRPr="00895A49" w:rsidTr="00410EA4">
        <w:trPr>
          <w:trHeight w:val="312"/>
        </w:trPr>
        <w:tc>
          <w:tcPr>
            <w:tcW w:w="5103"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Грошові кошти та їх еквіваленти</w:t>
            </w:r>
          </w:p>
        </w:tc>
        <w:tc>
          <w:tcPr>
            <w:tcW w:w="2180" w:type="dxa"/>
            <w:tcBorders>
              <w:top w:val="nil"/>
              <w:left w:val="nil"/>
              <w:bottom w:val="single" w:sz="4" w:space="0" w:color="auto"/>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46491</w:t>
            </w:r>
          </w:p>
        </w:tc>
        <w:tc>
          <w:tcPr>
            <w:tcW w:w="2540" w:type="dxa"/>
            <w:tcBorders>
              <w:top w:val="nil"/>
              <w:left w:val="nil"/>
              <w:bottom w:val="single" w:sz="4" w:space="0" w:color="auto"/>
              <w:right w:val="nil"/>
            </w:tcBorders>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46696</w:t>
            </w:r>
          </w:p>
        </w:tc>
      </w:tr>
      <w:tr w:rsidR="00895A49" w:rsidRPr="00895A49" w:rsidTr="00410EA4">
        <w:trPr>
          <w:trHeight w:val="312"/>
        </w:trPr>
        <w:tc>
          <w:tcPr>
            <w:tcW w:w="5103"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2180"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46701</w:t>
            </w:r>
          </w:p>
        </w:tc>
        <w:tc>
          <w:tcPr>
            <w:tcW w:w="2540" w:type="dxa"/>
            <w:tcBorders>
              <w:top w:val="nil"/>
              <w:left w:val="nil"/>
              <w:bottom w:val="nil"/>
              <w:right w:val="nil"/>
            </w:tcBorders>
            <w:vAlign w:val="bottom"/>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47350</w:t>
            </w:r>
          </w:p>
        </w:tc>
      </w:tr>
    </w:tbl>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Ринковий ризик</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Ринковий ризик – це ризик того, що справедлива вартість фінансового інструмента чи майбутні грошові потоки за фінансовим інструментом будуть коливатися у зв’язку зі змінами ринкових </w:t>
      </w:r>
      <w:r w:rsidRPr="00895A49">
        <w:rPr>
          <w:rFonts w:ascii="Times New Roman" w:hAnsi="Times New Roman" w:cs="Times New Roman"/>
          <w:sz w:val="24"/>
          <w:szCs w:val="24"/>
        </w:rPr>
        <w:lastRenderedPageBreak/>
        <w:t>курсів. Ринковий ризик виникає у зв’язку з відкритими позиціями за  процентними ставками, валютами, на які впливають загальні і специфічні зміни на ринку та зміни рівня нестабільності ринкових курсів. Метою управління ринковим ризиком є управління та контроль за збереженням рівня ринкового ризику в прийнятих межах.</w:t>
      </w: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Процентний ризик</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Компанія зазнає впливу ринкових процентних ставок на свій фінансовий стан та грошові потоки. Процентна маржа може збільшуватися в результаті таких змін, а може і зменшуватися або призводити до збитків у разі виникнення несподіваних змін. </w:t>
      </w:r>
    </w:p>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Ризик ліквідності</w:t>
      </w:r>
    </w:p>
    <w:p w:rsidR="00895A49" w:rsidRPr="00895A49" w:rsidRDefault="00895A49" w:rsidP="00895A49">
      <w:pPr>
        <w:pStyle w:val="Default"/>
        <w:widowControl w:val="0"/>
        <w:jc w:val="both"/>
        <w:rPr>
          <w:rFonts w:ascii="Times New Roman" w:hAnsi="Times New Roman" w:cs="Times New Roman"/>
          <w:color w:val="auto"/>
          <w:lang w:val="uk-UA" w:eastAsia="uk-UA"/>
        </w:rPr>
      </w:pPr>
      <w:r w:rsidRPr="00895A49">
        <w:rPr>
          <w:rFonts w:ascii="Times New Roman" w:hAnsi="Times New Roman" w:cs="Times New Roman"/>
          <w:color w:val="auto"/>
          <w:lang w:val="uk-UA" w:eastAsia="uk-UA"/>
        </w:rPr>
        <w:t xml:space="preserve">Ризик ліквідності - це ризик того, що Компанії буде складно залучити кошти для виконання своїх зобов'язань. Ризик ліквідності існує тоді, коли існує розбіжність у строках виплат за активами і зобов’язаннями. Для управлінського персоналу Компанії надзвичайно важливо, щоб строки виплат за активами відповідали строкам виплат за зобов’язаннями, процентні ставки по активах відповідали процентним ставкам по зобов’язаннях, а якщо існує будь-яка невідповідність, щоб вона була під контролем. </w:t>
      </w:r>
    </w:p>
    <w:p w:rsidR="00895A49" w:rsidRPr="00895A49" w:rsidRDefault="00895A49" w:rsidP="00895A49">
      <w:pPr>
        <w:pStyle w:val="Default"/>
        <w:widowControl w:val="0"/>
        <w:jc w:val="both"/>
        <w:rPr>
          <w:rFonts w:ascii="Times New Roman" w:hAnsi="Times New Roman" w:cs="Times New Roman"/>
          <w:color w:val="auto"/>
          <w:lang w:val="uk-UA" w:eastAsia="uk-UA"/>
        </w:rPr>
      </w:pPr>
      <w:r w:rsidRPr="00895A49">
        <w:rPr>
          <w:rFonts w:ascii="Times New Roman" w:hAnsi="Times New Roman" w:cs="Times New Roman"/>
          <w:color w:val="auto"/>
          <w:lang w:val="uk-UA" w:eastAsia="uk-UA"/>
        </w:rPr>
        <w:t xml:space="preserve">Компанія здійснює управління ліквідністю з метою забезпечення постійної наявності коштів, необхідних для виконання усіх зобов'язань у визначені терміни. </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Строки погашення непохідних фінансових зобов’язань згідно з договорами, страхових резервів (включаючи резерв незароблених премій) та виплати процентів представлені таким чином:</w:t>
      </w:r>
    </w:p>
    <w:p w:rsidR="00895A49" w:rsidRPr="00895A49" w:rsidRDefault="00895A49" w:rsidP="00895A49">
      <w:pPr>
        <w:widowControl w:val="0"/>
        <w:spacing w:after="0" w:line="240" w:lineRule="auto"/>
        <w:jc w:val="both"/>
        <w:rPr>
          <w:rFonts w:ascii="Times New Roman" w:hAnsi="Times New Roman" w:cs="Times New Roman"/>
          <w:i/>
          <w:sz w:val="24"/>
          <w:szCs w:val="24"/>
        </w:rPr>
      </w:pPr>
      <w:r w:rsidRPr="00895A49">
        <w:rPr>
          <w:rFonts w:ascii="Times New Roman" w:hAnsi="Times New Roman" w:cs="Times New Roman"/>
          <w:i/>
          <w:sz w:val="24"/>
          <w:szCs w:val="24"/>
        </w:rPr>
        <w:t>на 31 березня 2022 р.</w:t>
      </w:r>
    </w:p>
    <w:p w:rsidR="00895A49" w:rsidRPr="00895A49" w:rsidRDefault="00895A49" w:rsidP="00895A49">
      <w:pPr>
        <w:widowControl w:val="0"/>
        <w:spacing w:after="0" w:line="240" w:lineRule="auto"/>
        <w:jc w:val="both"/>
        <w:rPr>
          <w:rFonts w:ascii="Times New Roman" w:hAnsi="Times New Roman" w:cs="Times New Roman"/>
          <w:i/>
          <w:sz w:val="24"/>
          <w:szCs w:val="24"/>
        </w:rPr>
      </w:pPr>
    </w:p>
    <w:tbl>
      <w:tblPr>
        <w:tblW w:w="9783" w:type="dxa"/>
        <w:tblInd w:w="108" w:type="dxa"/>
        <w:tblLook w:val="04A0"/>
      </w:tblPr>
      <w:tblGrid>
        <w:gridCol w:w="4962"/>
        <w:gridCol w:w="1559"/>
        <w:gridCol w:w="1560"/>
        <w:gridCol w:w="1702"/>
      </w:tblGrid>
      <w:tr w:rsidR="00895A49" w:rsidRPr="00895A49" w:rsidTr="00410EA4">
        <w:trPr>
          <w:trHeight w:val="209"/>
        </w:trPr>
        <w:tc>
          <w:tcPr>
            <w:tcW w:w="4962"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 </w:t>
            </w:r>
          </w:p>
        </w:tc>
        <w:tc>
          <w:tcPr>
            <w:tcW w:w="1559"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Балансова вартість</w:t>
            </w:r>
          </w:p>
        </w:tc>
        <w:tc>
          <w:tcPr>
            <w:tcW w:w="1560"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До одного року</w:t>
            </w:r>
          </w:p>
        </w:tc>
        <w:tc>
          <w:tcPr>
            <w:tcW w:w="1702"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Понад один рік</w:t>
            </w:r>
          </w:p>
        </w:tc>
      </w:tr>
      <w:tr w:rsidR="00895A49" w:rsidRPr="00895A49" w:rsidTr="00410EA4">
        <w:trPr>
          <w:trHeight w:val="312"/>
        </w:trPr>
        <w:tc>
          <w:tcPr>
            <w:tcW w:w="4962"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Резерв збитків, валова сума</w:t>
            </w:r>
          </w:p>
        </w:tc>
        <w:tc>
          <w:tcPr>
            <w:tcW w:w="1559"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14 320</w:t>
            </w:r>
          </w:p>
        </w:tc>
        <w:tc>
          <w:tcPr>
            <w:tcW w:w="1560"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14 320</w:t>
            </w:r>
          </w:p>
        </w:tc>
        <w:tc>
          <w:tcPr>
            <w:tcW w:w="1702"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12"/>
        </w:trPr>
        <w:tc>
          <w:tcPr>
            <w:tcW w:w="4962"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Резерв незароблених премій, валова сума</w:t>
            </w:r>
          </w:p>
        </w:tc>
        <w:tc>
          <w:tcPr>
            <w:tcW w:w="1559"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1449</w:t>
            </w:r>
          </w:p>
        </w:tc>
        <w:tc>
          <w:tcPr>
            <w:tcW w:w="1560"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1449</w:t>
            </w:r>
          </w:p>
        </w:tc>
        <w:tc>
          <w:tcPr>
            <w:tcW w:w="1702"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12"/>
        </w:trPr>
        <w:tc>
          <w:tcPr>
            <w:tcW w:w="4962"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Поточна кредиторська заборгованість за товари, роботи, послуги</w:t>
            </w:r>
          </w:p>
        </w:tc>
        <w:tc>
          <w:tcPr>
            <w:tcW w:w="1559"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w:t>
            </w:r>
          </w:p>
        </w:tc>
        <w:tc>
          <w:tcPr>
            <w:tcW w:w="1560"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w:t>
            </w:r>
          </w:p>
        </w:tc>
        <w:tc>
          <w:tcPr>
            <w:tcW w:w="1702"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12"/>
        </w:trPr>
        <w:tc>
          <w:tcPr>
            <w:tcW w:w="4962"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Поточна кредиторська заборгованість за страховою діяльністю</w:t>
            </w:r>
          </w:p>
        </w:tc>
        <w:tc>
          <w:tcPr>
            <w:tcW w:w="1559" w:type="dxa"/>
            <w:tcBorders>
              <w:top w:val="nil"/>
              <w:left w:val="nil"/>
              <w:bottom w:val="single" w:sz="4" w:space="0" w:color="auto"/>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651</w:t>
            </w:r>
          </w:p>
        </w:tc>
        <w:tc>
          <w:tcPr>
            <w:tcW w:w="1560" w:type="dxa"/>
            <w:tcBorders>
              <w:top w:val="nil"/>
              <w:left w:val="nil"/>
              <w:bottom w:val="single" w:sz="4" w:space="0" w:color="auto"/>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651</w:t>
            </w:r>
          </w:p>
        </w:tc>
        <w:tc>
          <w:tcPr>
            <w:tcW w:w="1702"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12"/>
        </w:trPr>
        <w:tc>
          <w:tcPr>
            <w:tcW w:w="4962"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1559"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16430</w:t>
            </w:r>
          </w:p>
        </w:tc>
        <w:tc>
          <w:tcPr>
            <w:tcW w:w="1560"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16430</w:t>
            </w:r>
          </w:p>
        </w:tc>
        <w:tc>
          <w:tcPr>
            <w:tcW w:w="1702"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i/>
          <w:sz w:val="24"/>
          <w:szCs w:val="24"/>
        </w:rPr>
      </w:pPr>
      <w:r w:rsidRPr="00895A49">
        <w:rPr>
          <w:rFonts w:ascii="Times New Roman" w:hAnsi="Times New Roman" w:cs="Times New Roman"/>
          <w:i/>
          <w:sz w:val="24"/>
          <w:szCs w:val="24"/>
        </w:rPr>
        <w:t>на 31 березня 2021 р.</w:t>
      </w:r>
    </w:p>
    <w:tbl>
      <w:tblPr>
        <w:tblW w:w="9781" w:type="dxa"/>
        <w:tblInd w:w="108" w:type="dxa"/>
        <w:tblLook w:val="04A0"/>
      </w:tblPr>
      <w:tblGrid>
        <w:gridCol w:w="4420"/>
        <w:gridCol w:w="2180"/>
        <w:gridCol w:w="1480"/>
        <w:gridCol w:w="1701"/>
      </w:tblGrid>
      <w:tr w:rsidR="00895A49" w:rsidRPr="00895A49" w:rsidTr="00410EA4">
        <w:trPr>
          <w:trHeight w:val="312"/>
          <w:tblHeader/>
        </w:trPr>
        <w:tc>
          <w:tcPr>
            <w:tcW w:w="4420"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 </w:t>
            </w:r>
          </w:p>
        </w:tc>
        <w:tc>
          <w:tcPr>
            <w:tcW w:w="2180"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Балансова вартість</w:t>
            </w:r>
          </w:p>
        </w:tc>
        <w:tc>
          <w:tcPr>
            <w:tcW w:w="1480"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До одного року</w:t>
            </w:r>
          </w:p>
        </w:tc>
        <w:tc>
          <w:tcPr>
            <w:tcW w:w="1701"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Понад один рік</w:t>
            </w:r>
          </w:p>
        </w:tc>
      </w:tr>
      <w:tr w:rsidR="00895A49" w:rsidRPr="00895A49" w:rsidTr="00410EA4">
        <w:trPr>
          <w:trHeight w:val="312"/>
        </w:trPr>
        <w:tc>
          <w:tcPr>
            <w:tcW w:w="442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Резерв збитків, валова сума</w:t>
            </w:r>
          </w:p>
        </w:tc>
        <w:tc>
          <w:tcPr>
            <w:tcW w:w="218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14079</w:t>
            </w:r>
          </w:p>
        </w:tc>
        <w:tc>
          <w:tcPr>
            <w:tcW w:w="148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14079</w:t>
            </w:r>
          </w:p>
        </w:tc>
        <w:tc>
          <w:tcPr>
            <w:tcW w:w="1701"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12"/>
        </w:trPr>
        <w:tc>
          <w:tcPr>
            <w:tcW w:w="442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Резерв незароблених премій, валова сума</w:t>
            </w:r>
          </w:p>
        </w:tc>
        <w:tc>
          <w:tcPr>
            <w:tcW w:w="218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2526</w:t>
            </w:r>
          </w:p>
        </w:tc>
        <w:tc>
          <w:tcPr>
            <w:tcW w:w="148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2526</w:t>
            </w:r>
          </w:p>
        </w:tc>
        <w:tc>
          <w:tcPr>
            <w:tcW w:w="1701"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12"/>
        </w:trPr>
        <w:tc>
          <w:tcPr>
            <w:tcW w:w="442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Поточна кредиторська заборгованість за товари, роботи, послуги</w:t>
            </w:r>
          </w:p>
        </w:tc>
        <w:tc>
          <w:tcPr>
            <w:tcW w:w="218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12</w:t>
            </w:r>
          </w:p>
        </w:tc>
        <w:tc>
          <w:tcPr>
            <w:tcW w:w="148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12</w:t>
            </w:r>
          </w:p>
        </w:tc>
        <w:tc>
          <w:tcPr>
            <w:tcW w:w="1701"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12"/>
        </w:trPr>
        <w:tc>
          <w:tcPr>
            <w:tcW w:w="4420"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Поточна кредиторська заборгованість за страховою діяльністю</w:t>
            </w:r>
          </w:p>
        </w:tc>
        <w:tc>
          <w:tcPr>
            <w:tcW w:w="2180"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386</w:t>
            </w:r>
          </w:p>
        </w:tc>
        <w:tc>
          <w:tcPr>
            <w:tcW w:w="1480"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386</w:t>
            </w:r>
          </w:p>
        </w:tc>
        <w:tc>
          <w:tcPr>
            <w:tcW w:w="1701"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r w:rsidR="00895A49" w:rsidRPr="00895A49" w:rsidTr="00410EA4">
        <w:trPr>
          <w:trHeight w:val="312"/>
        </w:trPr>
        <w:tc>
          <w:tcPr>
            <w:tcW w:w="442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c>
          <w:tcPr>
            <w:tcW w:w="218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17003</w:t>
            </w:r>
          </w:p>
        </w:tc>
        <w:tc>
          <w:tcPr>
            <w:tcW w:w="148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17003</w:t>
            </w:r>
          </w:p>
        </w:tc>
        <w:tc>
          <w:tcPr>
            <w:tcW w:w="1701"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r>
    </w:tbl>
    <w:p w:rsidR="00895A49" w:rsidRPr="00895A49" w:rsidRDefault="00895A49" w:rsidP="00895A49">
      <w:pPr>
        <w:widowControl w:val="0"/>
        <w:spacing w:after="0" w:line="240" w:lineRule="auto"/>
        <w:jc w:val="both"/>
        <w:rPr>
          <w:rFonts w:ascii="Times New Roman" w:hAnsi="Times New Roman" w:cs="Times New Roman"/>
          <w:b/>
          <w:i/>
          <w:sz w:val="24"/>
          <w:szCs w:val="24"/>
        </w:rPr>
      </w:pPr>
    </w:p>
    <w:p w:rsidR="00895A49" w:rsidRPr="00895A49" w:rsidRDefault="00895A49" w:rsidP="00895A49">
      <w:pPr>
        <w:widowControl w:val="0"/>
        <w:spacing w:after="0" w:line="240" w:lineRule="auto"/>
        <w:jc w:val="both"/>
        <w:rPr>
          <w:rFonts w:ascii="Times New Roman" w:hAnsi="Times New Roman" w:cs="Times New Roman"/>
          <w:b/>
          <w:i/>
          <w:sz w:val="24"/>
          <w:szCs w:val="24"/>
        </w:rPr>
      </w:pPr>
      <w:r w:rsidRPr="00895A49">
        <w:rPr>
          <w:rFonts w:ascii="Times New Roman" w:hAnsi="Times New Roman" w:cs="Times New Roman"/>
          <w:b/>
          <w:i/>
          <w:sz w:val="24"/>
          <w:szCs w:val="24"/>
        </w:rPr>
        <w:t>Валютний ризик</w:t>
      </w:r>
    </w:p>
    <w:p w:rsidR="00895A49" w:rsidRPr="00895A49" w:rsidRDefault="00895A49" w:rsidP="00895A49">
      <w:pPr>
        <w:pStyle w:val="Default"/>
        <w:widowControl w:val="0"/>
        <w:jc w:val="both"/>
        <w:rPr>
          <w:rFonts w:ascii="Times New Roman" w:hAnsi="Times New Roman" w:cs="Times New Roman"/>
          <w:color w:val="auto"/>
          <w:lang w:val="uk-UA" w:eastAsia="uk-UA"/>
        </w:rPr>
      </w:pPr>
      <w:r w:rsidRPr="00895A49">
        <w:rPr>
          <w:rFonts w:ascii="Times New Roman" w:hAnsi="Times New Roman" w:cs="Times New Roman"/>
          <w:color w:val="auto"/>
          <w:lang w:val="uk-UA" w:eastAsia="uk-UA"/>
        </w:rPr>
        <w:t>Валютний ризик виникає у випадках, коли наявні або прогнозовані активи, виражені в якій-небудь іноземній валюті, більше або менше по величині наявних або прогнозованих зобов'язань, виражених у тій же валюті.</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Валютний ризик Компанії виникає внаслідок прийняття на себе ризиків за зобов’язаннями,  вираженими в іноземній  валюті. Компанія управляє своїм валютним ризиком, підтримуючи наявність грошових коштів в іноземній валюті (долари США, євро).</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lastRenderedPageBreak/>
        <w:t>Курси обміну гривні до основних валют , використані для складання цієї фінансової звітності, були такими:</w:t>
      </w:r>
    </w:p>
    <w:p w:rsidR="00895A49" w:rsidRPr="00895A49" w:rsidRDefault="00895A49" w:rsidP="00895A49">
      <w:pPr>
        <w:widowControl w:val="0"/>
        <w:spacing w:after="0" w:line="240" w:lineRule="auto"/>
        <w:jc w:val="both"/>
        <w:rPr>
          <w:rFonts w:ascii="Times New Roman" w:hAnsi="Times New Roman" w:cs="Times New Roman"/>
          <w:b/>
          <w:i/>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2"/>
        <w:gridCol w:w="3332"/>
        <w:gridCol w:w="3117"/>
      </w:tblGrid>
      <w:tr w:rsidR="00895A49" w:rsidRPr="00895A49" w:rsidTr="00410EA4">
        <w:tc>
          <w:tcPr>
            <w:tcW w:w="3332" w:type="dxa"/>
            <w:tcBorders>
              <w:top w:val="nil"/>
              <w:left w:val="nil"/>
              <w:bottom w:val="single" w:sz="4" w:space="0" w:color="auto"/>
              <w:right w:val="nil"/>
            </w:tcBorders>
            <w:shd w:val="clear" w:color="auto" w:fill="auto"/>
          </w:tcPr>
          <w:p w:rsidR="00895A49" w:rsidRPr="00895A49" w:rsidRDefault="00895A49" w:rsidP="00895A49">
            <w:pPr>
              <w:widowControl w:val="0"/>
              <w:spacing w:after="0" w:line="240" w:lineRule="auto"/>
              <w:jc w:val="both"/>
              <w:rPr>
                <w:rFonts w:ascii="Times New Roman" w:hAnsi="Times New Roman" w:cs="Times New Roman"/>
                <w:b/>
                <w:sz w:val="24"/>
                <w:szCs w:val="24"/>
              </w:rPr>
            </w:pPr>
            <w:r w:rsidRPr="00895A49">
              <w:rPr>
                <w:rFonts w:ascii="Times New Roman" w:hAnsi="Times New Roman" w:cs="Times New Roman"/>
                <w:b/>
                <w:sz w:val="24"/>
                <w:szCs w:val="24"/>
              </w:rPr>
              <w:t>Валюта</w:t>
            </w:r>
          </w:p>
        </w:tc>
        <w:tc>
          <w:tcPr>
            <w:tcW w:w="3332" w:type="dxa"/>
            <w:tcBorders>
              <w:top w:val="nil"/>
              <w:left w:val="nil"/>
              <w:bottom w:val="single" w:sz="4" w:space="0" w:color="auto"/>
              <w:right w:val="nil"/>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b/>
                <w:sz w:val="24"/>
                <w:szCs w:val="24"/>
              </w:rPr>
            </w:pPr>
            <w:r w:rsidRPr="00895A49">
              <w:rPr>
                <w:rFonts w:ascii="Times New Roman" w:hAnsi="Times New Roman" w:cs="Times New Roman"/>
                <w:b/>
                <w:sz w:val="24"/>
                <w:szCs w:val="24"/>
              </w:rPr>
              <w:t>31.03.2022</w:t>
            </w:r>
          </w:p>
          <w:p w:rsidR="00895A49" w:rsidRPr="00895A49" w:rsidRDefault="00895A49" w:rsidP="00895A49">
            <w:pPr>
              <w:widowControl w:val="0"/>
              <w:spacing w:after="0" w:line="240" w:lineRule="auto"/>
              <w:jc w:val="center"/>
              <w:rPr>
                <w:rFonts w:ascii="Times New Roman" w:hAnsi="Times New Roman" w:cs="Times New Roman"/>
                <w:b/>
                <w:sz w:val="24"/>
                <w:szCs w:val="24"/>
              </w:rPr>
            </w:pPr>
            <w:r w:rsidRPr="00895A49">
              <w:rPr>
                <w:rFonts w:ascii="Times New Roman" w:hAnsi="Times New Roman" w:cs="Times New Roman"/>
                <w:b/>
                <w:sz w:val="24"/>
                <w:szCs w:val="24"/>
              </w:rPr>
              <w:t>у гривнях</w:t>
            </w:r>
          </w:p>
        </w:tc>
        <w:tc>
          <w:tcPr>
            <w:tcW w:w="3117" w:type="dxa"/>
            <w:tcBorders>
              <w:top w:val="nil"/>
              <w:left w:val="nil"/>
              <w:bottom w:val="single" w:sz="4" w:space="0" w:color="auto"/>
              <w:right w:val="nil"/>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b/>
                <w:sz w:val="24"/>
                <w:szCs w:val="24"/>
              </w:rPr>
            </w:pPr>
            <w:r w:rsidRPr="00895A49">
              <w:rPr>
                <w:rFonts w:ascii="Times New Roman" w:hAnsi="Times New Roman" w:cs="Times New Roman"/>
                <w:b/>
                <w:sz w:val="24"/>
                <w:szCs w:val="24"/>
              </w:rPr>
              <w:t>31.03.2021</w:t>
            </w:r>
          </w:p>
          <w:p w:rsidR="00895A49" w:rsidRPr="00895A49" w:rsidRDefault="00895A49" w:rsidP="00895A49">
            <w:pPr>
              <w:widowControl w:val="0"/>
              <w:spacing w:after="0" w:line="240" w:lineRule="auto"/>
              <w:jc w:val="center"/>
              <w:rPr>
                <w:rFonts w:ascii="Times New Roman" w:hAnsi="Times New Roman" w:cs="Times New Roman"/>
                <w:b/>
                <w:sz w:val="24"/>
                <w:szCs w:val="24"/>
              </w:rPr>
            </w:pPr>
            <w:r w:rsidRPr="00895A49">
              <w:rPr>
                <w:rFonts w:ascii="Times New Roman" w:hAnsi="Times New Roman" w:cs="Times New Roman"/>
                <w:b/>
                <w:sz w:val="24"/>
                <w:szCs w:val="24"/>
              </w:rPr>
              <w:t>у гривнях</w:t>
            </w:r>
          </w:p>
        </w:tc>
      </w:tr>
      <w:tr w:rsidR="00895A49" w:rsidRPr="00895A49" w:rsidTr="00410EA4">
        <w:tc>
          <w:tcPr>
            <w:tcW w:w="3332" w:type="dxa"/>
            <w:tcBorders>
              <w:top w:val="single" w:sz="4" w:space="0" w:color="auto"/>
              <w:left w:val="nil"/>
              <w:bottom w:val="nil"/>
              <w:right w:val="nil"/>
            </w:tcBorders>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1 долар США</w:t>
            </w:r>
          </w:p>
        </w:tc>
        <w:tc>
          <w:tcPr>
            <w:tcW w:w="3332" w:type="dxa"/>
            <w:tcBorders>
              <w:top w:val="single" w:sz="4" w:space="0" w:color="auto"/>
              <w:left w:val="nil"/>
              <w:bottom w:val="nil"/>
              <w:right w:val="nil"/>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29,2549</w:t>
            </w:r>
          </w:p>
        </w:tc>
        <w:tc>
          <w:tcPr>
            <w:tcW w:w="3117" w:type="dxa"/>
            <w:tcBorders>
              <w:top w:val="single" w:sz="4" w:space="0" w:color="auto"/>
              <w:left w:val="nil"/>
              <w:bottom w:val="nil"/>
              <w:right w:val="nil"/>
            </w:tcBorders>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27,8852</w:t>
            </w:r>
          </w:p>
        </w:tc>
      </w:tr>
      <w:tr w:rsidR="00895A49" w:rsidRPr="00895A49" w:rsidTr="00410E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2" w:type="dxa"/>
            <w:shd w:val="clear" w:color="auto" w:fill="auto"/>
          </w:tcPr>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1 євро</w:t>
            </w:r>
          </w:p>
        </w:tc>
        <w:tc>
          <w:tcPr>
            <w:tcW w:w="3332" w:type="dxa"/>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32,5856</w:t>
            </w:r>
          </w:p>
        </w:tc>
        <w:tc>
          <w:tcPr>
            <w:tcW w:w="3117" w:type="dxa"/>
            <w:shd w:val="clear" w:color="auto" w:fill="auto"/>
          </w:tcPr>
          <w:p w:rsidR="00895A49" w:rsidRPr="00895A49" w:rsidRDefault="00895A49" w:rsidP="00895A49">
            <w:pPr>
              <w:widowControl w:val="0"/>
              <w:spacing w:after="0" w:line="240" w:lineRule="auto"/>
              <w:jc w:val="center"/>
              <w:rPr>
                <w:rFonts w:ascii="Times New Roman" w:hAnsi="Times New Roman" w:cs="Times New Roman"/>
                <w:sz w:val="24"/>
                <w:szCs w:val="24"/>
              </w:rPr>
            </w:pPr>
            <w:r w:rsidRPr="00895A49">
              <w:rPr>
                <w:rFonts w:ascii="Times New Roman" w:hAnsi="Times New Roman" w:cs="Times New Roman"/>
                <w:sz w:val="24"/>
                <w:szCs w:val="24"/>
              </w:rPr>
              <w:t>32,7233</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Рівень валютного ризику Компанії на 31 березня 2022 року представлений наступним чином:</w:t>
      </w:r>
    </w:p>
    <w:p w:rsidR="00895A49" w:rsidRPr="00895A49" w:rsidRDefault="00895A49" w:rsidP="00895A49">
      <w:pPr>
        <w:widowControl w:val="0"/>
        <w:spacing w:after="0" w:line="240" w:lineRule="auto"/>
        <w:jc w:val="both"/>
        <w:rPr>
          <w:rFonts w:ascii="Times New Roman" w:hAnsi="Times New Roman" w:cs="Times New Roman"/>
          <w:sz w:val="24"/>
          <w:szCs w:val="24"/>
        </w:rPr>
      </w:pPr>
    </w:p>
    <w:tbl>
      <w:tblPr>
        <w:tblW w:w="9781" w:type="dxa"/>
        <w:tblInd w:w="108" w:type="dxa"/>
        <w:tblLook w:val="04A0"/>
      </w:tblPr>
      <w:tblGrid>
        <w:gridCol w:w="4420"/>
        <w:gridCol w:w="1109"/>
        <w:gridCol w:w="1701"/>
        <w:gridCol w:w="992"/>
        <w:gridCol w:w="1559"/>
      </w:tblGrid>
      <w:tr w:rsidR="00895A49" w:rsidRPr="00895A49" w:rsidTr="00410EA4">
        <w:trPr>
          <w:trHeight w:val="312"/>
        </w:trPr>
        <w:tc>
          <w:tcPr>
            <w:tcW w:w="4420"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 </w:t>
            </w:r>
          </w:p>
        </w:tc>
        <w:tc>
          <w:tcPr>
            <w:tcW w:w="1109"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Гривня</w:t>
            </w:r>
          </w:p>
        </w:tc>
        <w:tc>
          <w:tcPr>
            <w:tcW w:w="1701"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Долар США</w:t>
            </w:r>
          </w:p>
        </w:tc>
        <w:tc>
          <w:tcPr>
            <w:tcW w:w="992"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Євро</w:t>
            </w:r>
          </w:p>
        </w:tc>
        <w:tc>
          <w:tcPr>
            <w:tcW w:w="1559"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r>
      <w:tr w:rsidR="00895A49" w:rsidRPr="00895A49" w:rsidTr="00410EA4">
        <w:trPr>
          <w:trHeight w:val="312"/>
        </w:trPr>
        <w:tc>
          <w:tcPr>
            <w:tcW w:w="442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Фінансові активи</w:t>
            </w:r>
          </w:p>
        </w:tc>
        <w:tc>
          <w:tcPr>
            <w:tcW w:w="1109"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p>
        </w:tc>
        <w:tc>
          <w:tcPr>
            <w:tcW w:w="1701"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992"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trHeight w:val="312"/>
        </w:trPr>
        <w:tc>
          <w:tcPr>
            <w:tcW w:w="4420"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Грошові кошти та їх еквіваленти</w:t>
            </w:r>
          </w:p>
        </w:tc>
        <w:tc>
          <w:tcPr>
            <w:tcW w:w="1109"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23763</w:t>
            </w:r>
          </w:p>
        </w:tc>
        <w:tc>
          <w:tcPr>
            <w:tcW w:w="1701"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16211</w:t>
            </w:r>
          </w:p>
        </w:tc>
        <w:tc>
          <w:tcPr>
            <w:tcW w:w="992"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6 517</w:t>
            </w:r>
          </w:p>
        </w:tc>
        <w:tc>
          <w:tcPr>
            <w:tcW w:w="1559"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46491</w:t>
            </w:r>
          </w:p>
        </w:tc>
      </w:tr>
      <w:tr w:rsidR="00895A49" w:rsidRPr="00895A49" w:rsidTr="00410EA4">
        <w:trPr>
          <w:trHeight w:val="243"/>
        </w:trPr>
        <w:tc>
          <w:tcPr>
            <w:tcW w:w="4420"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Торгівельна дебіторська заборгованість</w:t>
            </w:r>
          </w:p>
        </w:tc>
        <w:tc>
          <w:tcPr>
            <w:tcW w:w="1109"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20</w:t>
            </w:r>
          </w:p>
        </w:tc>
        <w:tc>
          <w:tcPr>
            <w:tcW w:w="1701"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992"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559"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20</w:t>
            </w:r>
          </w:p>
        </w:tc>
      </w:tr>
      <w:tr w:rsidR="00895A49" w:rsidRPr="00895A49" w:rsidTr="00410EA4">
        <w:trPr>
          <w:trHeight w:val="312"/>
        </w:trPr>
        <w:tc>
          <w:tcPr>
            <w:tcW w:w="4420"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Дебіторська заборгованість  за виданими авансами</w:t>
            </w:r>
          </w:p>
        </w:tc>
        <w:tc>
          <w:tcPr>
            <w:tcW w:w="1109"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69</w:t>
            </w:r>
          </w:p>
        </w:tc>
        <w:tc>
          <w:tcPr>
            <w:tcW w:w="1701"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992"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559"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69</w:t>
            </w:r>
          </w:p>
        </w:tc>
      </w:tr>
      <w:tr w:rsidR="00895A49" w:rsidRPr="00895A49" w:rsidTr="00410EA4">
        <w:trPr>
          <w:trHeight w:val="312"/>
        </w:trPr>
        <w:tc>
          <w:tcPr>
            <w:tcW w:w="4420"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Дебіторська заборгованість з нарахованих доходів</w:t>
            </w:r>
          </w:p>
        </w:tc>
        <w:tc>
          <w:tcPr>
            <w:tcW w:w="1109"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ru-RU"/>
              </w:rPr>
            </w:pPr>
            <w:r w:rsidRPr="00895A49">
              <w:rPr>
                <w:rFonts w:ascii="Times New Roman" w:hAnsi="Times New Roman" w:cs="Times New Roman"/>
                <w:sz w:val="24"/>
                <w:szCs w:val="24"/>
                <w:lang w:val="ru-RU"/>
              </w:rPr>
              <w:t>88</w:t>
            </w:r>
          </w:p>
        </w:tc>
        <w:tc>
          <w:tcPr>
            <w:tcW w:w="1701"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ru-RU"/>
              </w:rPr>
            </w:pPr>
            <w:r w:rsidRPr="00895A49">
              <w:rPr>
                <w:rFonts w:ascii="Times New Roman" w:hAnsi="Times New Roman" w:cs="Times New Roman"/>
                <w:sz w:val="24"/>
                <w:szCs w:val="24"/>
                <w:lang w:val="ru-RU"/>
              </w:rPr>
              <w:t>12</w:t>
            </w:r>
          </w:p>
        </w:tc>
        <w:tc>
          <w:tcPr>
            <w:tcW w:w="992"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ru-RU"/>
              </w:rPr>
            </w:pPr>
            <w:r w:rsidRPr="00895A49">
              <w:rPr>
                <w:rFonts w:ascii="Times New Roman" w:hAnsi="Times New Roman" w:cs="Times New Roman"/>
                <w:sz w:val="24"/>
                <w:szCs w:val="24"/>
                <w:lang w:val="ru-RU"/>
              </w:rPr>
              <w:t>-</w:t>
            </w:r>
          </w:p>
        </w:tc>
        <w:tc>
          <w:tcPr>
            <w:tcW w:w="1559"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100</w:t>
            </w:r>
          </w:p>
        </w:tc>
      </w:tr>
      <w:tr w:rsidR="00895A49" w:rsidRPr="00895A49" w:rsidTr="00410EA4">
        <w:trPr>
          <w:trHeight w:val="312"/>
        </w:trPr>
        <w:tc>
          <w:tcPr>
            <w:tcW w:w="4420" w:type="dxa"/>
            <w:tcBorders>
              <w:top w:val="nil"/>
              <w:left w:val="nil"/>
              <w:bottom w:val="nil"/>
              <w:right w:val="nil"/>
            </w:tcBorders>
            <w:shd w:val="clear" w:color="auto" w:fill="auto"/>
            <w:vAlign w:val="center"/>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Інша дебіторська заборгованість</w:t>
            </w:r>
          </w:p>
        </w:tc>
        <w:tc>
          <w:tcPr>
            <w:tcW w:w="1109"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ru-RU"/>
              </w:rPr>
            </w:pPr>
            <w:r w:rsidRPr="00895A49">
              <w:rPr>
                <w:rFonts w:ascii="Times New Roman" w:hAnsi="Times New Roman" w:cs="Times New Roman"/>
                <w:sz w:val="24"/>
                <w:szCs w:val="24"/>
                <w:lang w:val="ru-RU"/>
              </w:rPr>
              <w:t>21</w:t>
            </w:r>
          </w:p>
        </w:tc>
        <w:tc>
          <w:tcPr>
            <w:tcW w:w="1701"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ru-RU"/>
              </w:rPr>
            </w:pPr>
            <w:r w:rsidRPr="00895A49">
              <w:rPr>
                <w:rFonts w:ascii="Times New Roman" w:hAnsi="Times New Roman" w:cs="Times New Roman"/>
                <w:sz w:val="24"/>
                <w:szCs w:val="24"/>
                <w:lang w:val="ru-RU"/>
              </w:rPr>
              <w:t>-</w:t>
            </w:r>
          </w:p>
        </w:tc>
        <w:tc>
          <w:tcPr>
            <w:tcW w:w="992"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lang w:val="ru-RU"/>
              </w:rPr>
            </w:pPr>
            <w:r w:rsidRPr="00895A49">
              <w:rPr>
                <w:rFonts w:ascii="Times New Roman" w:hAnsi="Times New Roman" w:cs="Times New Roman"/>
                <w:sz w:val="24"/>
                <w:szCs w:val="24"/>
                <w:lang w:val="ru-RU"/>
              </w:rPr>
              <w:t>-</w:t>
            </w:r>
          </w:p>
        </w:tc>
        <w:tc>
          <w:tcPr>
            <w:tcW w:w="1559" w:type="dxa"/>
            <w:tcBorders>
              <w:top w:val="nil"/>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21</w:t>
            </w:r>
          </w:p>
        </w:tc>
      </w:tr>
      <w:tr w:rsidR="00895A49" w:rsidRPr="00895A49" w:rsidTr="00410EA4">
        <w:trPr>
          <w:trHeight w:val="312"/>
        </w:trPr>
        <w:tc>
          <w:tcPr>
            <w:tcW w:w="4420" w:type="dxa"/>
            <w:tcBorders>
              <w:top w:val="nil"/>
              <w:left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Фінансові зобов'язання</w:t>
            </w:r>
          </w:p>
        </w:tc>
        <w:tc>
          <w:tcPr>
            <w:tcW w:w="1109" w:type="dxa"/>
            <w:tcBorders>
              <w:top w:val="nil"/>
              <w:left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p>
        </w:tc>
        <w:tc>
          <w:tcPr>
            <w:tcW w:w="1701" w:type="dxa"/>
            <w:tcBorders>
              <w:top w:val="nil"/>
              <w:left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992" w:type="dxa"/>
            <w:tcBorders>
              <w:top w:val="nil"/>
              <w:left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559" w:type="dxa"/>
            <w:tcBorders>
              <w:top w:val="nil"/>
              <w:left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trHeight w:val="312"/>
        </w:trPr>
        <w:tc>
          <w:tcPr>
            <w:tcW w:w="4420" w:type="dxa"/>
            <w:tcBorders>
              <w:top w:val="nil"/>
              <w:left w:val="nil"/>
              <w:right w:val="nil"/>
            </w:tcBorders>
            <w:shd w:val="clear" w:color="auto" w:fill="auto"/>
            <w:noWrap/>
            <w:vAlign w:val="bottom"/>
          </w:tcPr>
          <w:p w:rsidR="00895A49" w:rsidRPr="00895A49" w:rsidRDefault="00895A49" w:rsidP="006D4FEE">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Cs/>
                <w:sz w:val="24"/>
                <w:szCs w:val="24"/>
                <w:lang w:val="ru-RU"/>
              </w:rPr>
              <w:t xml:space="preserve">Резерв </w:t>
            </w:r>
            <w:proofErr w:type="spellStart"/>
            <w:r w:rsidRPr="00895A49">
              <w:rPr>
                <w:rFonts w:ascii="Times New Roman" w:hAnsi="Times New Roman" w:cs="Times New Roman"/>
                <w:bCs/>
                <w:sz w:val="24"/>
                <w:szCs w:val="24"/>
                <w:lang w:val="ru-RU"/>
              </w:rPr>
              <w:t>збитків</w:t>
            </w:r>
            <w:proofErr w:type="spellEnd"/>
            <w:r w:rsidR="006D4FEE">
              <w:rPr>
                <w:rFonts w:ascii="Times New Roman" w:hAnsi="Times New Roman" w:cs="Times New Roman"/>
                <w:bCs/>
                <w:sz w:val="24"/>
                <w:szCs w:val="24"/>
                <w:lang w:val="ru-RU"/>
              </w:rPr>
              <w:t xml:space="preserve"> </w:t>
            </w:r>
            <w:proofErr w:type="spellStart"/>
            <w:r w:rsidRPr="00895A49">
              <w:rPr>
                <w:rFonts w:ascii="Times New Roman" w:hAnsi="Times New Roman" w:cs="Times New Roman"/>
                <w:bCs/>
                <w:sz w:val="24"/>
                <w:szCs w:val="24"/>
                <w:lang w:val="ru-RU"/>
              </w:rPr>
              <w:t>або</w:t>
            </w:r>
            <w:proofErr w:type="spellEnd"/>
            <w:r w:rsidRPr="00895A49">
              <w:rPr>
                <w:rFonts w:ascii="Times New Roman" w:hAnsi="Times New Roman" w:cs="Times New Roman"/>
                <w:bCs/>
                <w:sz w:val="24"/>
                <w:szCs w:val="24"/>
                <w:lang w:val="ru-RU"/>
              </w:rPr>
              <w:t xml:space="preserve"> резерв </w:t>
            </w:r>
            <w:proofErr w:type="spellStart"/>
            <w:r w:rsidRPr="00895A49">
              <w:rPr>
                <w:rFonts w:ascii="Times New Roman" w:hAnsi="Times New Roman" w:cs="Times New Roman"/>
                <w:bCs/>
                <w:sz w:val="24"/>
                <w:szCs w:val="24"/>
                <w:lang w:val="ru-RU"/>
              </w:rPr>
              <w:t>належних</w:t>
            </w:r>
            <w:proofErr w:type="spellEnd"/>
            <w:r w:rsidR="006D4FEE">
              <w:rPr>
                <w:rFonts w:ascii="Times New Roman" w:hAnsi="Times New Roman" w:cs="Times New Roman"/>
                <w:bCs/>
                <w:sz w:val="24"/>
                <w:szCs w:val="24"/>
                <w:lang w:val="ru-RU"/>
              </w:rPr>
              <w:t xml:space="preserve"> </w:t>
            </w:r>
            <w:proofErr w:type="spellStart"/>
            <w:r w:rsidRPr="00895A49">
              <w:rPr>
                <w:rFonts w:ascii="Times New Roman" w:hAnsi="Times New Roman" w:cs="Times New Roman"/>
                <w:bCs/>
                <w:sz w:val="24"/>
                <w:szCs w:val="24"/>
                <w:lang w:val="ru-RU"/>
              </w:rPr>
              <w:t>виплат</w:t>
            </w:r>
            <w:proofErr w:type="spellEnd"/>
          </w:p>
        </w:tc>
        <w:tc>
          <w:tcPr>
            <w:tcW w:w="1109" w:type="dxa"/>
            <w:tcBorders>
              <w:top w:val="nil"/>
              <w:left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Cs/>
                <w:sz w:val="24"/>
                <w:szCs w:val="24"/>
              </w:rPr>
            </w:pPr>
            <w:r w:rsidRPr="00895A49">
              <w:rPr>
                <w:rFonts w:ascii="Times New Roman" w:hAnsi="Times New Roman" w:cs="Times New Roman"/>
                <w:bCs/>
                <w:sz w:val="24"/>
                <w:szCs w:val="24"/>
              </w:rPr>
              <w:t>(7)</w:t>
            </w:r>
          </w:p>
        </w:tc>
        <w:tc>
          <w:tcPr>
            <w:tcW w:w="1701" w:type="dxa"/>
            <w:tcBorders>
              <w:top w:val="nil"/>
              <w:left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(14 313)</w:t>
            </w:r>
          </w:p>
        </w:tc>
        <w:tc>
          <w:tcPr>
            <w:tcW w:w="992" w:type="dxa"/>
            <w:tcBorders>
              <w:top w:val="nil"/>
              <w:left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559" w:type="dxa"/>
            <w:tcBorders>
              <w:top w:val="nil"/>
              <w:left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(14 320)</w:t>
            </w:r>
          </w:p>
        </w:tc>
      </w:tr>
      <w:tr w:rsidR="00895A49" w:rsidRPr="00895A49" w:rsidTr="00410EA4">
        <w:trPr>
          <w:trHeight w:val="312"/>
        </w:trPr>
        <w:tc>
          <w:tcPr>
            <w:tcW w:w="4420" w:type="dxa"/>
            <w:tcBorders>
              <w:top w:val="nil"/>
              <w:left w:val="nil"/>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bCs/>
                <w:sz w:val="24"/>
                <w:szCs w:val="24"/>
                <w:lang w:val="ru-RU"/>
              </w:rPr>
            </w:pPr>
            <w:r w:rsidRPr="00895A49">
              <w:rPr>
                <w:rFonts w:ascii="Times New Roman" w:hAnsi="Times New Roman" w:cs="Times New Roman"/>
                <w:sz w:val="24"/>
                <w:szCs w:val="24"/>
              </w:rPr>
              <w:t>Поточна кредиторська заборгованість за товари, роботи, послуги</w:t>
            </w:r>
          </w:p>
        </w:tc>
        <w:tc>
          <w:tcPr>
            <w:tcW w:w="1109" w:type="dxa"/>
            <w:tcBorders>
              <w:top w:val="nil"/>
              <w:left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Cs/>
                <w:sz w:val="24"/>
                <w:szCs w:val="24"/>
              </w:rPr>
            </w:pPr>
            <w:r w:rsidRPr="00895A49">
              <w:rPr>
                <w:rFonts w:ascii="Times New Roman" w:hAnsi="Times New Roman" w:cs="Times New Roman"/>
                <w:bCs/>
                <w:sz w:val="24"/>
                <w:szCs w:val="24"/>
              </w:rPr>
              <w:t>(10)</w:t>
            </w:r>
          </w:p>
        </w:tc>
        <w:tc>
          <w:tcPr>
            <w:tcW w:w="1701" w:type="dxa"/>
            <w:tcBorders>
              <w:top w:val="nil"/>
              <w:left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992" w:type="dxa"/>
            <w:tcBorders>
              <w:top w:val="nil"/>
              <w:left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559" w:type="dxa"/>
            <w:tcBorders>
              <w:top w:val="nil"/>
              <w:left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
                <w:sz w:val="24"/>
                <w:szCs w:val="24"/>
              </w:rPr>
            </w:pPr>
            <w:r w:rsidRPr="00895A49">
              <w:rPr>
                <w:rFonts w:ascii="Times New Roman" w:hAnsi="Times New Roman" w:cs="Times New Roman"/>
                <w:b/>
                <w:sz w:val="24"/>
                <w:szCs w:val="24"/>
              </w:rPr>
              <w:t>(10)</w:t>
            </w:r>
          </w:p>
        </w:tc>
      </w:tr>
      <w:tr w:rsidR="00895A49" w:rsidRPr="00895A49" w:rsidTr="00410EA4">
        <w:trPr>
          <w:trHeight w:val="312"/>
        </w:trPr>
        <w:tc>
          <w:tcPr>
            <w:tcW w:w="4420" w:type="dxa"/>
            <w:tcBorders>
              <w:left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Поточна кредиторська заборгованість за страховою діяльністю</w:t>
            </w:r>
          </w:p>
        </w:tc>
        <w:tc>
          <w:tcPr>
            <w:tcW w:w="1109" w:type="dxa"/>
            <w:tcBorders>
              <w:left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(5)</w:t>
            </w:r>
          </w:p>
        </w:tc>
        <w:tc>
          <w:tcPr>
            <w:tcW w:w="1701" w:type="dxa"/>
            <w:tcBorders>
              <w:left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(646)</w:t>
            </w:r>
          </w:p>
        </w:tc>
        <w:tc>
          <w:tcPr>
            <w:tcW w:w="992" w:type="dxa"/>
            <w:tcBorders>
              <w:left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559" w:type="dxa"/>
            <w:tcBorders>
              <w:left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(651)</w:t>
            </w:r>
          </w:p>
        </w:tc>
      </w:tr>
      <w:tr w:rsidR="00895A49" w:rsidRPr="00895A49" w:rsidTr="00410EA4">
        <w:trPr>
          <w:trHeight w:val="312"/>
        </w:trPr>
        <w:tc>
          <w:tcPr>
            <w:tcW w:w="4420" w:type="dxa"/>
            <w:tcBorders>
              <w:top w:val="single" w:sz="4" w:space="0" w:color="auto"/>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Чиста довга/(коротка) позиція</w:t>
            </w:r>
          </w:p>
        </w:tc>
        <w:tc>
          <w:tcPr>
            <w:tcW w:w="1109" w:type="dxa"/>
            <w:tcBorders>
              <w:top w:val="single" w:sz="4" w:space="0" w:color="auto"/>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23939</w:t>
            </w:r>
          </w:p>
        </w:tc>
        <w:tc>
          <w:tcPr>
            <w:tcW w:w="1701" w:type="dxa"/>
            <w:tcBorders>
              <w:top w:val="single" w:sz="4" w:space="0" w:color="auto"/>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1 264</w:t>
            </w:r>
          </w:p>
        </w:tc>
        <w:tc>
          <w:tcPr>
            <w:tcW w:w="992" w:type="dxa"/>
            <w:tcBorders>
              <w:top w:val="single" w:sz="4" w:space="0" w:color="auto"/>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6 517</w:t>
            </w:r>
          </w:p>
        </w:tc>
        <w:tc>
          <w:tcPr>
            <w:tcW w:w="1559" w:type="dxa"/>
            <w:tcBorders>
              <w:top w:val="single" w:sz="4" w:space="0" w:color="auto"/>
              <w:left w:val="nil"/>
              <w:bottom w:val="nil"/>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31720</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Рівень валютного ризику Компанії на 31 березня 2021 року представлений наступним чином:</w:t>
      </w:r>
    </w:p>
    <w:tbl>
      <w:tblPr>
        <w:tblW w:w="9781" w:type="dxa"/>
        <w:tblInd w:w="108" w:type="dxa"/>
        <w:tblLook w:val="04A0"/>
      </w:tblPr>
      <w:tblGrid>
        <w:gridCol w:w="4420"/>
        <w:gridCol w:w="1109"/>
        <w:gridCol w:w="1701"/>
        <w:gridCol w:w="992"/>
        <w:gridCol w:w="142"/>
        <w:gridCol w:w="1417"/>
      </w:tblGrid>
      <w:tr w:rsidR="00895A49" w:rsidRPr="00895A49" w:rsidTr="00410EA4">
        <w:trPr>
          <w:trHeight w:val="312"/>
        </w:trPr>
        <w:tc>
          <w:tcPr>
            <w:tcW w:w="4420"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 </w:t>
            </w:r>
          </w:p>
        </w:tc>
        <w:tc>
          <w:tcPr>
            <w:tcW w:w="1109"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Гривня</w:t>
            </w:r>
          </w:p>
        </w:tc>
        <w:tc>
          <w:tcPr>
            <w:tcW w:w="1701"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Долар США</w:t>
            </w:r>
          </w:p>
        </w:tc>
        <w:tc>
          <w:tcPr>
            <w:tcW w:w="1134" w:type="dxa"/>
            <w:gridSpan w:val="2"/>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Євро</w:t>
            </w:r>
          </w:p>
        </w:tc>
        <w:tc>
          <w:tcPr>
            <w:tcW w:w="1417"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Всього</w:t>
            </w:r>
          </w:p>
        </w:tc>
      </w:tr>
      <w:tr w:rsidR="00895A49" w:rsidRPr="00895A49" w:rsidTr="00410EA4">
        <w:trPr>
          <w:trHeight w:val="312"/>
        </w:trPr>
        <w:tc>
          <w:tcPr>
            <w:tcW w:w="442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Фінансові активи</w:t>
            </w:r>
          </w:p>
        </w:tc>
        <w:tc>
          <w:tcPr>
            <w:tcW w:w="1109"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p>
        </w:tc>
        <w:tc>
          <w:tcPr>
            <w:tcW w:w="1701"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417"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trHeight w:val="312"/>
        </w:trPr>
        <w:tc>
          <w:tcPr>
            <w:tcW w:w="442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Грошові кошти та їх еквіваленти</w:t>
            </w:r>
          </w:p>
        </w:tc>
        <w:tc>
          <w:tcPr>
            <w:tcW w:w="1109"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31071</w:t>
            </w:r>
          </w:p>
        </w:tc>
        <w:tc>
          <w:tcPr>
            <w:tcW w:w="1701"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14578</w:t>
            </w:r>
          </w:p>
        </w:tc>
        <w:tc>
          <w:tcPr>
            <w:tcW w:w="1134" w:type="dxa"/>
            <w:gridSpan w:val="2"/>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1 047</w:t>
            </w:r>
          </w:p>
        </w:tc>
        <w:tc>
          <w:tcPr>
            <w:tcW w:w="1417"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46696</w:t>
            </w:r>
          </w:p>
        </w:tc>
      </w:tr>
      <w:tr w:rsidR="00895A49" w:rsidRPr="00895A49" w:rsidTr="00410EA4">
        <w:trPr>
          <w:trHeight w:val="312"/>
        </w:trPr>
        <w:tc>
          <w:tcPr>
            <w:tcW w:w="442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Торгівельна дебіторська заборгованість</w:t>
            </w:r>
          </w:p>
        </w:tc>
        <w:tc>
          <w:tcPr>
            <w:tcW w:w="1109"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362</w:t>
            </w:r>
          </w:p>
        </w:tc>
        <w:tc>
          <w:tcPr>
            <w:tcW w:w="1701"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   </w:t>
            </w:r>
          </w:p>
        </w:tc>
        <w:tc>
          <w:tcPr>
            <w:tcW w:w="1134" w:type="dxa"/>
            <w:gridSpan w:val="2"/>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   </w:t>
            </w:r>
          </w:p>
        </w:tc>
        <w:tc>
          <w:tcPr>
            <w:tcW w:w="1417"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362</w:t>
            </w:r>
          </w:p>
        </w:tc>
      </w:tr>
      <w:tr w:rsidR="00895A49" w:rsidRPr="00895A49" w:rsidTr="00410EA4">
        <w:trPr>
          <w:trHeight w:val="312"/>
        </w:trPr>
        <w:tc>
          <w:tcPr>
            <w:tcW w:w="442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Дебіторська заборгованість  за виданими авансами</w:t>
            </w:r>
          </w:p>
        </w:tc>
        <w:tc>
          <w:tcPr>
            <w:tcW w:w="1109"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68</w:t>
            </w:r>
          </w:p>
        </w:tc>
        <w:tc>
          <w:tcPr>
            <w:tcW w:w="1701"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   </w:t>
            </w:r>
          </w:p>
        </w:tc>
        <w:tc>
          <w:tcPr>
            <w:tcW w:w="1134" w:type="dxa"/>
            <w:gridSpan w:val="2"/>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   </w:t>
            </w:r>
          </w:p>
        </w:tc>
        <w:tc>
          <w:tcPr>
            <w:tcW w:w="1417"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68</w:t>
            </w:r>
          </w:p>
        </w:tc>
      </w:tr>
      <w:tr w:rsidR="00895A49" w:rsidRPr="00895A49" w:rsidTr="00410EA4">
        <w:trPr>
          <w:trHeight w:val="312"/>
        </w:trPr>
        <w:tc>
          <w:tcPr>
            <w:tcW w:w="4420"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Дебіторська заборгованість з нарахованих доходів</w:t>
            </w:r>
          </w:p>
        </w:tc>
        <w:tc>
          <w:tcPr>
            <w:tcW w:w="1109"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202</w:t>
            </w:r>
          </w:p>
        </w:tc>
        <w:tc>
          <w:tcPr>
            <w:tcW w:w="1701"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w:t>
            </w:r>
          </w:p>
        </w:tc>
        <w:tc>
          <w:tcPr>
            <w:tcW w:w="1134" w:type="dxa"/>
            <w:gridSpan w:val="2"/>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   </w:t>
            </w:r>
          </w:p>
        </w:tc>
        <w:tc>
          <w:tcPr>
            <w:tcW w:w="1417"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206</w:t>
            </w:r>
          </w:p>
        </w:tc>
      </w:tr>
      <w:tr w:rsidR="00895A49" w:rsidRPr="00895A49" w:rsidTr="00410EA4">
        <w:trPr>
          <w:trHeight w:val="312"/>
        </w:trPr>
        <w:tc>
          <w:tcPr>
            <w:tcW w:w="4420"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Інша дебіторська заборгованість</w:t>
            </w:r>
          </w:p>
        </w:tc>
        <w:tc>
          <w:tcPr>
            <w:tcW w:w="1109"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18</w:t>
            </w:r>
          </w:p>
        </w:tc>
        <w:tc>
          <w:tcPr>
            <w:tcW w:w="1701"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   </w:t>
            </w:r>
          </w:p>
        </w:tc>
        <w:tc>
          <w:tcPr>
            <w:tcW w:w="1134" w:type="dxa"/>
            <w:gridSpan w:val="2"/>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   </w:t>
            </w:r>
          </w:p>
        </w:tc>
        <w:tc>
          <w:tcPr>
            <w:tcW w:w="1417" w:type="dxa"/>
            <w:tcBorders>
              <w:top w:val="nil"/>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18</w:t>
            </w:r>
          </w:p>
        </w:tc>
      </w:tr>
      <w:tr w:rsidR="00895A49" w:rsidRPr="00895A49" w:rsidTr="00410EA4">
        <w:trPr>
          <w:trHeight w:val="312"/>
        </w:trPr>
        <w:tc>
          <w:tcPr>
            <w:tcW w:w="4420"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p>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Фінансові зобов'язання</w:t>
            </w:r>
          </w:p>
        </w:tc>
        <w:tc>
          <w:tcPr>
            <w:tcW w:w="1109"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p>
        </w:tc>
        <w:tc>
          <w:tcPr>
            <w:tcW w:w="1701"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992" w:type="dxa"/>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c>
          <w:tcPr>
            <w:tcW w:w="1559" w:type="dxa"/>
            <w:gridSpan w:val="2"/>
            <w:tcBorders>
              <w:top w:val="nil"/>
              <w:left w:val="nil"/>
              <w:bottom w:val="single" w:sz="4" w:space="0" w:color="auto"/>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p>
        </w:tc>
      </w:tr>
      <w:tr w:rsidR="00895A49" w:rsidRPr="00895A49" w:rsidTr="00410EA4">
        <w:trPr>
          <w:trHeight w:val="312"/>
        </w:trPr>
        <w:tc>
          <w:tcPr>
            <w:tcW w:w="4420" w:type="dxa"/>
            <w:tcBorders>
              <w:top w:val="single" w:sz="4" w:space="0" w:color="auto"/>
              <w:left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 xml:space="preserve">Резерв збитків або резерв належних                     виплат                                                                                                                                                            </w:t>
            </w:r>
          </w:p>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Поточна кредиторська заборгованість за товари, роботи, послуги</w:t>
            </w:r>
          </w:p>
        </w:tc>
        <w:tc>
          <w:tcPr>
            <w:tcW w:w="1109" w:type="dxa"/>
            <w:tcBorders>
              <w:top w:val="single" w:sz="4" w:space="0" w:color="auto"/>
              <w:left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(436)</w:t>
            </w:r>
          </w:p>
          <w:p w:rsidR="00895A49" w:rsidRPr="00895A49" w:rsidRDefault="00895A49" w:rsidP="00895A49">
            <w:pPr>
              <w:widowControl w:val="0"/>
              <w:spacing w:after="0" w:line="240" w:lineRule="auto"/>
              <w:jc w:val="right"/>
              <w:rPr>
                <w:rFonts w:ascii="Times New Roman" w:hAnsi="Times New Roman" w:cs="Times New Roman"/>
                <w:sz w:val="24"/>
                <w:szCs w:val="24"/>
              </w:rPr>
            </w:pPr>
          </w:p>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(12)</w:t>
            </w:r>
          </w:p>
        </w:tc>
        <w:tc>
          <w:tcPr>
            <w:tcW w:w="1701" w:type="dxa"/>
            <w:tcBorders>
              <w:top w:val="single" w:sz="4" w:space="0" w:color="auto"/>
              <w:left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(13643)</w:t>
            </w:r>
          </w:p>
          <w:p w:rsidR="00895A49" w:rsidRPr="00895A49" w:rsidRDefault="00895A49" w:rsidP="00895A49">
            <w:pPr>
              <w:widowControl w:val="0"/>
              <w:spacing w:after="0" w:line="240" w:lineRule="auto"/>
              <w:jc w:val="right"/>
              <w:rPr>
                <w:rFonts w:ascii="Times New Roman" w:hAnsi="Times New Roman" w:cs="Times New Roman"/>
                <w:sz w:val="24"/>
                <w:szCs w:val="24"/>
              </w:rPr>
            </w:pPr>
          </w:p>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992" w:type="dxa"/>
            <w:tcBorders>
              <w:top w:val="single" w:sz="4" w:space="0" w:color="auto"/>
              <w:left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p w:rsidR="00895A49" w:rsidRPr="00895A49" w:rsidRDefault="00895A49" w:rsidP="00895A49">
            <w:pPr>
              <w:widowControl w:val="0"/>
              <w:spacing w:after="0" w:line="240" w:lineRule="auto"/>
              <w:jc w:val="right"/>
              <w:rPr>
                <w:rFonts w:ascii="Times New Roman" w:hAnsi="Times New Roman" w:cs="Times New Roman"/>
                <w:sz w:val="24"/>
                <w:szCs w:val="24"/>
              </w:rPr>
            </w:pPr>
          </w:p>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559" w:type="dxa"/>
            <w:gridSpan w:val="2"/>
            <w:tcBorders>
              <w:top w:val="single" w:sz="4" w:space="0" w:color="auto"/>
              <w:left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(14 079)</w:t>
            </w:r>
          </w:p>
          <w:p w:rsidR="00895A49" w:rsidRPr="00895A49" w:rsidRDefault="00895A49" w:rsidP="00895A49">
            <w:pPr>
              <w:widowControl w:val="0"/>
              <w:spacing w:after="0" w:line="240" w:lineRule="auto"/>
              <w:jc w:val="right"/>
              <w:rPr>
                <w:rFonts w:ascii="Times New Roman" w:hAnsi="Times New Roman" w:cs="Times New Roman"/>
                <w:b/>
                <w:bCs/>
                <w:sz w:val="24"/>
                <w:szCs w:val="24"/>
              </w:rPr>
            </w:pPr>
          </w:p>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(12)</w:t>
            </w:r>
          </w:p>
        </w:tc>
      </w:tr>
      <w:tr w:rsidR="00895A49" w:rsidRPr="00895A49" w:rsidTr="00410EA4">
        <w:trPr>
          <w:trHeight w:val="312"/>
        </w:trPr>
        <w:tc>
          <w:tcPr>
            <w:tcW w:w="4420" w:type="dxa"/>
            <w:tcBorders>
              <w:top w:val="nil"/>
              <w:left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Поточна кредиторська заборгованість за страховою діяльністю</w:t>
            </w:r>
          </w:p>
        </w:tc>
        <w:tc>
          <w:tcPr>
            <w:tcW w:w="1109" w:type="dxa"/>
            <w:tcBorders>
              <w:top w:val="nil"/>
              <w:left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lang w:val="ru-RU"/>
              </w:rPr>
              <w:t>(6)</w:t>
            </w:r>
          </w:p>
        </w:tc>
        <w:tc>
          <w:tcPr>
            <w:tcW w:w="1701" w:type="dxa"/>
            <w:tcBorders>
              <w:top w:val="nil"/>
              <w:left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(335)</w:t>
            </w:r>
          </w:p>
        </w:tc>
        <w:tc>
          <w:tcPr>
            <w:tcW w:w="992" w:type="dxa"/>
            <w:tcBorders>
              <w:top w:val="nil"/>
              <w:left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xml:space="preserve">-   </w:t>
            </w:r>
          </w:p>
        </w:tc>
        <w:tc>
          <w:tcPr>
            <w:tcW w:w="1559" w:type="dxa"/>
            <w:gridSpan w:val="2"/>
            <w:tcBorders>
              <w:top w:val="nil"/>
              <w:left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(341)</w:t>
            </w:r>
          </w:p>
        </w:tc>
      </w:tr>
      <w:tr w:rsidR="00895A49" w:rsidRPr="00895A49" w:rsidTr="00410EA4">
        <w:trPr>
          <w:trHeight w:val="312"/>
        </w:trPr>
        <w:tc>
          <w:tcPr>
            <w:tcW w:w="4420" w:type="dxa"/>
            <w:tcBorders>
              <w:left w:val="nil"/>
              <w:bottom w:val="single" w:sz="4" w:space="0" w:color="auto"/>
              <w:right w:val="nil"/>
            </w:tcBorders>
            <w:shd w:val="clear" w:color="auto" w:fill="auto"/>
            <w:noWrap/>
            <w:vAlign w:val="bottom"/>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Аванси отримані за страховою діяльністю</w:t>
            </w:r>
          </w:p>
        </w:tc>
        <w:tc>
          <w:tcPr>
            <w:tcW w:w="1109" w:type="dxa"/>
            <w:tcBorders>
              <w:left w:val="nil"/>
              <w:bottom w:val="single" w:sz="4" w:space="0" w:color="auto"/>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(45)</w:t>
            </w:r>
          </w:p>
        </w:tc>
        <w:tc>
          <w:tcPr>
            <w:tcW w:w="1701" w:type="dxa"/>
            <w:tcBorders>
              <w:left w:val="nil"/>
              <w:bottom w:val="single" w:sz="4" w:space="0" w:color="auto"/>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992" w:type="dxa"/>
            <w:tcBorders>
              <w:left w:val="nil"/>
              <w:bottom w:val="single" w:sz="4" w:space="0" w:color="auto"/>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w:t>
            </w:r>
          </w:p>
        </w:tc>
        <w:tc>
          <w:tcPr>
            <w:tcW w:w="1559" w:type="dxa"/>
            <w:gridSpan w:val="2"/>
            <w:tcBorders>
              <w:left w:val="nil"/>
              <w:bottom w:val="single" w:sz="4" w:space="0" w:color="auto"/>
              <w:right w:val="nil"/>
            </w:tcBorders>
            <w:shd w:val="clear" w:color="auto" w:fill="auto"/>
            <w:noWrap/>
            <w:vAlign w:val="center"/>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(45)</w:t>
            </w:r>
          </w:p>
        </w:tc>
      </w:tr>
      <w:tr w:rsidR="00895A49" w:rsidRPr="00895A49" w:rsidTr="00410EA4">
        <w:trPr>
          <w:trHeight w:val="312"/>
        </w:trPr>
        <w:tc>
          <w:tcPr>
            <w:tcW w:w="4420" w:type="dxa"/>
            <w:tcBorders>
              <w:top w:val="single" w:sz="4" w:space="0" w:color="auto"/>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Чиста довга/(коротка) позиція</w:t>
            </w:r>
          </w:p>
        </w:tc>
        <w:tc>
          <w:tcPr>
            <w:tcW w:w="1109" w:type="dxa"/>
            <w:tcBorders>
              <w:top w:val="single" w:sz="4" w:space="0" w:color="auto"/>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31222</w:t>
            </w:r>
          </w:p>
        </w:tc>
        <w:tc>
          <w:tcPr>
            <w:tcW w:w="1701" w:type="dxa"/>
            <w:tcBorders>
              <w:top w:val="single" w:sz="4" w:space="0" w:color="auto"/>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604</w:t>
            </w:r>
          </w:p>
        </w:tc>
        <w:tc>
          <w:tcPr>
            <w:tcW w:w="992" w:type="dxa"/>
            <w:tcBorders>
              <w:top w:val="single" w:sz="4" w:space="0" w:color="auto"/>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1 047</w:t>
            </w:r>
          </w:p>
        </w:tc>
        <w:tc>
          <w:tcPr>
            <w:tcW w:w="1559" w:type="dxa"/>
            <w:gridSpan w:val="2"/>
            <w:tcBorders>
              <w:top w:val="single" w:sz="4" w:space="0" w:color="auto"/>
              <w:left w:val="nil"/>
              <w:bottom w:val="nil"/>
              <w:right w:val="nil"/>
            </w:tcBorders>
            <w:shd w:val="clear" w:color="auto" w:fill="auto"/>
            <w:noWrap/>
            <w:vAlign w:val="center"/>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32873</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Зміна курсу гривні, як наведено в наступній таблиці, по відношенню до наступних валют станом на 31 березня 2022 року та 31 березня 2021 року призведе до таких змін прибутку до оподаткування:</w:t>
      </w:r>
    </w:p>
    <w:tbl>
      <w:tblPr>
        <w:tblW w:w="9937" w:type="dxa"/>
        <w:tblInd w:w="108" w:type="dxa"/>
        <w:tblLook w:val="04A0"/>
      </w:tblPr>
      <w:tblGrid>
        <w:gridCol w:w="2127"/>
        <w:gridCol w:w="2835"/>
        <w:gridCol w:w="2707"/>
        <w:gridCol w:w="2268"/>
      </w:tblGrid>
      <w:tr w:rsidR="00895A49" w:rsidRPr="00895A49" w:rsidTr="00410EA4">
        <w:trPr>
          <w:trHeight w:val="624"/>
        </w:trPr>
        <w:tc>
          <w:tcPr>
            <w:tcW w:w="2127"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p>
        </w:tc>
        <w:tc>
          <w:tcPr>
            <w:tcW w:w="2835" w:type="dxa"/>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Зміна валютного курсу</w:t>
            </w:r>
          </w:p>
        </w:tc>
        <w:tc>
          <w:tcPr>
            <w:tcW w:w="4975" w:type="dxa"/>
            <w:gridSpan w:val="2"/>
            <w:tcBorders>
              <w:top w:val="nil"/>
              <w:left w:val="nil"/>
              <w:bottom w:val="nil"/>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Вплив на прибуток до оподаткування</w:t>
            </w:r>
          </w:p>
        </w:tc>
      </w:tr>
      <w:tr w:rsidR="00895A49" w:rsidRPr="00895A49" w:rsidTr="00410EA4">
        <w:trPr>
          <w:trHeight w:val="312"/>
        </w:trPr>
        <w:tc>
          <w:tcPr>
            <w:tcW w:w="2127"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b/>
                <w:bCs/>
                <w:sz w:val="24"/>
                <w:szCs w:val="24"/>
              </w:rPr>
            </w:pPr>
            <w:r w:rsidRPr="00895A49">
              <w:rPr>
                <w:rFonts w:ascii="Times New Roman" w:hAnsi="Times New Roman" w:cs="Times New Roman"/>
                <w:b/>
                <w:bCs/>
                <w:sz w:val="24"/>
                <w:szCs w:val="24"/>
              </w:rPr>
              <w:t>Валюта</w:t>
            </w:r>
          </w:p>
        </w:tc>
        <w:tc>
          <w:tcPr>
            <w:tcW w:w="2835" w:type="dxa"/>
            <w:tcBorders>
              <w:top w:val="nil"/>
              <w:left w:val="nil"/>
              <w:bottom w:val="single" w:sz="4" w:space="0" w:color="auto"/>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 </w:t>
            </w:r>
          </w:p>
        </w:tc>
        <w:tc>
          <w:tcPr>
            <w:tcW w:w="2707"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31.03.2022</w:t>
            </w:r>
          </w:p>
        </w:tc>
        <w:tc>
          <w:tcPr>
            <w:tcW w:w="2268" w:type="dxa"/>
            <w:tcBorders>
              <w:top w:val="nil"/>
              <w:left w:val="nil"/>
              <w:bottom w:val="single" w:sz="4" w:space="0" w:color="auto"/>
              <w:right w:val="nil"/>
            </w:tcBorders>
            <w:shd w:val="clear" w:color="auto" w:fill="auto"/>
            <w:vAlign w:val="bottom"/>
            <w:hideMark/>
          </w:tcPr>
          <w:p w:rsidR="00895A49" w:rsidRPr="00895A49" w:rsidRDefault="00895A49" w:rsidP="00895A49">
            <w:pPr>
              <w:widowControl w:val="0"/>
              <w:spacing w:after="0" w:line="240" w:lineRule="auto"/>
              <w:jc w:val="right"/>
              <w:rPr>
                <w:rFonts w:ascii="Times New Roman" w:hAnsi="Times New Roman" w:cs="Times New Roman"/>
                <w:b/>
                <w:bCs/>
                <w:sz w:val="24"/>
                <w:szCs w:val="24"/>
              </w:rPr>
            </w:pPr>
            <w:r w:rsidRPr="00895A49">
              <w:rPr>
                <w:rFonts w:ascii="Times New Roman" w:hAnsi="Times New Roman" w:cs="Times New Roman"/>
                <w:b/>
                <w:bCs/>
                <w:sz w:val="24"/>
                <w:szCs w:val="24"/>
              </w:rPr>
              <w:t>31.03.2021</w:t>
            </w:r>
          </w:p>
        </w:tc>
      </w:tr>
      <w:tr w:rsidR="00895A49" w:rsidRPr="00895A49" w:rsidTr="00410EA4">
        <w:trPr>
          <w:trHeight w:val="312"/>
        </w:trPr>
        <w:tc>
          <w:tcPr>
            <w:tcW w:w="2127"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Долар США</w:t>
            </w:r>
          </w:p>
        </w:tc>
        <w:tc>
          <w:tcPr>
            <w:tcW w:w="2835"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w:t>
            </w:r>
          </w:p>
        </w:tc>
        <w:tc>
          <w:tcPr>
            <w:tcW w:w="2707"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-126</w:t>
            </w:r>
          </w:p>
        </w:tc>
        <w:tc>
          <w:tcPr>
            <w:tcW w:w="2268"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-60</w:t>
            </w:r>
          </w:p>
        </w:tc>
      </w:tr>
      <w:tr w:rsidR="00895A49" w:rsidRPr="00895A49" w:rsidTr="00410EA4">
        <w:trPr>
          <w:trHeight w:val="312"/>
        </w:trPr>
        <w:tc>
          <w:tcPr>
            <w:tcW w:w="2127"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Євро</w:t>
            </w:r>
          </w:p>
        </w:tc>
        <w:tc>
          <w:tcPr>
            <w:tcW w:w="2835"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w:t>
            </w:r>
          </w:p>
        </w:tc>
        <w:tc>
          <w:tcPr>
            <w:tcW w:w="2707"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-652</w:t>
            </w:r>
          </w:p>
        </w:tc>
        <w:tc>
          <w:tcPr>
            <w:tcW w:w="2268"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-105</w:t>
            </w:r>
          </w:p>
        </w:tc>
      </w:tr>
      <w:tr w:rsidR="00895A49" w:rsidRPr="00895A49" w:rsidTr="00410EA4">
        <w:trPr>
          <w:trHeight w:val="312"/>
        </w:trPr>
        <w:tc>
          <w:tcPr>
            <w:tcW w:w="2127"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Долар США</w:t>
            </w:r>
          </w:p>
        </w:tc>
        <w:tc>
          <w:tcPr>
            <w:tcW w:w="2835"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w:t>
            </w:r>
          </w:p>
        </w:tc>
        <w:tc>
          <w:tcPr>
            <w:tcW w:w="2707"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126</w:t>
            </w:r>
          </w:p>
        </w:tc>
        <w:tc>
          <w:tcPr>
            <w:tcW w:w="2268"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60</w:t>
            </w:r>
          </w:p>
        </w:tc>
      </w:tr>
      <w:tr w:rsidR="00895A49" w:rsidRPr="00895A49" w:rsidTr="00410EA4">
        <w:trPr>
          <w:trHeight w:val="312"/>
        </w:trPr>
        <w:tc>
          <w:tcPr>
            <w:tcW w:w="2127"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rPr>
                <w:rFonts w:ascii="Times New Roman" w:hAnsi="Times New Roman" w:cs="Times New Roman"/>
                <w:sz w:val="24"/>
                <w:szCs w:val="24"/>
              </w:rPr>
            </w:pPr>
            <w:r w:rsidRPr="00895A49">
              <w:rPr>
                <w:rFonts w:ascii="Times New Roman" w:hAnsi="Times New Roman" w:cs="Times New Roman"/>
                <w:sz w:val="24"/>
                <w:szCs w:val="24"/>
              </w:rPr>
              <w:t>Євро</w:t>
            </w:r>
          </w:p>
        </w:tc>
        <w:tc>
          <w:tcPr>
            <w:tcW w:w="2835"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w:t>
            </w:r>
          </w:p>
        </w:tc>
        <w:tc>
          <w:tcPr>
            <w:tcW w:w="2707" w:type="dxa"/>
            <w:tcBorders>
              <w:top w:val="nil"/>
              <w:left w:val="nil"/>
              <w:bottom w:val="nil"/>
              <w:right w:val="nil"/>
            </w:tcBorders>
            <w:shd w:val="clear" w:color="auto" w:fill="auto"/>
            <w:noWrap/>
            <w:vAlign w:val="bottom"/>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652</w:t>
            </w:r>
          </w:p>
        </w:tc>
        <w:tc>
          <w:tcPr>
            <w:tcW w:w="2268" w:type="dxa"/>
            <w:tcBorders>
              <w:top w:val="nil"/>
              <w:left w:val="nil"/>
              <w:bottom w:val="nil"/>
              <w:right w:val="nil"/>
            </w:tcBorders>
            <w:shd w:val="clear" w:color="auto" w:fill="auto"/>
            <w:noWrap/>
            <w:vAlign w:val="bottom"/>
            <w:hideMark/>
          </w:tcPr>
          <w:p w:rsidR="00895A49" w:rsidRPr="00895A49" w:rsidRDefault="00895A49" w:rsidP="00895A49">
            <w:pPr>
              <w:widowControl w:val="0"/>
              <w:spacing w:after="0" w:line="240" w:lineRule="auto"/>
              <w:jc w:val="right"/>
              <w:rPr>
                <w:rFonts w:ascii="Times New Roman" w:hAnsi="Times New Roman" w:cs="Times New Roman"/>
                <w:sz w:val="24"/>
                <w:szCs w:val="24"/>
              </w:rPr>
            </w:pPr>
            <w:r w:rsidRPr="00895A49">
              <w:rPr>
                <w:rFonts w:ascii="Times New Roman" w:hAnsi="Times New Roman" w:cs="Times New Roman"/>
                <w:sz w:val="24"/>
                <w:szCs w:val="24"/>
              </w:rPr>
              <w:t>105</w:t>
            </w:r>
          </w:p>
        </w:tc>
      </w:tr>
    </w:tbl>
    <w:p w:rsidR="00895A49" w:rsidRPr="00895A49" w:rsidRDefault="00895A49" w:rsidP="00895A49">
      <w:pPr>
        <w:widowControl w:val="0"/>
        <w:spacing w:after="0" w:line="240" w:lineRule="auto"/>
        <w:jc w:val="both"/>
        <w:rPr>
          <w:rFonts w:ascii="Times New Roman" w:hAnsi="Times New Roman" w:cs="Times New Roman"/>
          <w:sz w:val="24"/>
          <w:szCs w:val="24"/>
        </w:rPr>
      </w:pPr>
    </w:p>
    <w:p w:rsidR="00895A49" w:rsidRPr="00895A49" w:rsidRDefault="00895A49" w:rsidP="00895A49">
      <w:pPr>
        <w:pStyle w:val="af6"/>
        <w:widowControl w:val="0"/>
        <w:spacing w:before="0" w:beforeAutospacing="0" w:after="0" w:afterAutospacing="0"/>
        <w:jc w:val="both"/>
        <w:rPr>
          <w:b/>
          <w:i/>
          <w:lang w:val="uk-UA"/>
        </w:rPr>
      </w:pPr>
      <w:r w:rsidRPr="00895A49">
        <w:rPr>
          <w:b/>
          <w:i/>
          <w:lang w:val="uk-UA"/>
        </w:rPr>
        <w:t>Управління капіталом</w:t>
      </w:r>
    </w:p>
    <w:p w:rsidR="00895A49" w:rsidRPr="00895A49" w:rsidRDefault="00895A49" w:rsidP="00895A49">
      <w:pPr>
        <w:pStyle w:val="af7"/>
        <w:widowControl w:val="0"/>
        <w:spacing w:after="0"/>
        <w:jc w:val="both"/>
        <w:rPr>
          <w:sz w:val="24"/>
          <w:szCs w:val="24"/>
        </w:rPr>
      </w:pPr>
      <w:r w:rsidRPr="00895A49">
        <w:rPr>
          <w:sz w:val="24"/>
          <w:szCs w:val="24"/>
        </w:rPr>
        <w:t>Основною метою Компанії відносно управління капіталом є дотримання вимог законодавства України відносно рівня достатності капіталу й вимог регулюючих органів в області страхування, а також забезпечення фінансової стабільності Компанії і її здатності продовжити здійснення фінансово-господарської діяльності відповідно до принципу безперервності діяльності.</w:t>
      </w:r>
    </w:p>
    <w:p w:rsidR="00895A49" w:rsidRPr="00895A49" w:rsidRDefault="00895A49" w:rsidP="00895A49">
      <w:pPr>
        <w:pStyle w:val="af6"/>
        <w:widowControl w:val="0"/>
        <w:spacing w:before="0" w:beforeAutospacing="0" w:after="0" w:afterAutospacing="0"/>
        <w:jc w:val="both"/>
        <w:rPr>
          <w:lang w:val="uk-UA"/>
        </w:rPr>
      </w:pPr>
      <w:r w:rsidRPr="00895A49">
        <w:rPr>
          <w:lang w:val="uk-UA"/>
        </w:rPr>
        <w:t xml:space="preserve">Загальна сума капіталу, управління яким здійснюється, відповідає сумі капіталу, показаному в балансі. На Компанію поширюються зовнішні вимоги до капіталу – це мінімальна сума статутного капіталу, а також ряд нормативів платоспроможності. </w:t>
      </w:r>
    </w:p>
    <w:p w:rsidR="00895A49" w:rsidRPr="00895A49" w:rsidRDefault="00895A49" w:rsidP="00895A49">
      <w:pPr>
        <w:pStyle w:val="af7"/>
        <w:widowControl w:val="0"/>
        <w:spacing w:after="0"/>
        <w:jc w:val="both"/>
        <w:rPr>
          <w:sz w:val="24"/>
          <w:szCs w:val="24"/>
        </w:rPr>
      </w:pPr>
      <w:r w:rsidRPr="00895A49">
        <w:rPr>
          <w:sz w:val="24"/>
          <w:szCs w:val="24"/>
        </w:rPr>
        <w:t>Станом на 31 березня 2022 року й на 31 березня 2021 року Компанія відповідала вимогам, встановленим регулюючими органами в області страхування відносно маржі платоспроможності, розміщення страхових резервів і інших нормативів.</w:t>
      </w:r>
    </w:p>
    <w:p w:rsidR="00895A49" w:rsidRPr="00895A49" w:rsidRDefault="00895A49" w:rsidP="00895A49">
      <w:pPr>
        <w:pStyle w:val="af6"/>
        <w:widowControl w:val="0"/>
        <w:spacing w:before="0" w:beforeAutospacing="0" w:after="0" w:afterAutospacing="0"/>
        <w:jc w:val="both"/>
        <w:rPr>
          <w:lang w:val="uk-UA"/>
        </w:rPr>
      </w:pPr>
    </w:p>
    <w:p w:rsidR="00895A49" w:rsidRPr="00895A49" w:rsidRDefault="00895A49" w:rsidP="00895A49">
      <w:pPr>
        <w:pStyle w:val="af6"/>
        <w:widowControl w:val="0"/>
        <w:spacing w:before="0" w:beforeAutospacing="0" w:after="0" w:afterAutospacing="0"/>
        <w:jc w:val="both"/>
        <w:rPr>
          <w:b/>
          <w:lang w:val="uk-UA"/>
        </w:rPr>
      </w:pPr>
      <w:r w:rsidRPr="00895A49">
        <w:rPr>
          <w:b/>
          <w:lang w:val="uk-UA"/>
        </w:rPr>
        <w:t>12</w:t>
      </w:r>
      <w:r w:rsidRPr="00895A49">
        <w:rPr>
          <w:lang w:val="uk-UA"/>
        </w:rPr>
        <w:t>.</w:t>
      </w:r>
      <w:r w:rsidRPr="00895A49">
        <w:rPr>
          <w:b/>
          <w:lang w:val="uk-UA"/>
        </w:rPr>
        <w:t xml:space="preserve">Події після балансу </w:t>
      </w:r>
    </w:p>
    <w:p w:rsidR="00895A49" w:rsidRPr="00895A49" w:rsidRDefault="00895A49" w:rsidP="00895A49">
      <w:pPr>
        <w:pStyle w:val="af6"/>
        <w:widowControl w:val="0"/>
        <w:spacing w:before="0" w:beforeAutospacing="0" w:after="0" w:afterAutospacing="0"/>
        <w:jc w:val="both"/>
        <w:rPr>
          <w:lang w:val="uk-UA"/>
        </w:rPr>
      </w:pPr>
      <w:r w:rsidRPr="00895A49">
        <w:rPr>
          <w:lang w:val="uk-UA"/>
        </w:rPr>
        <w:t>Проміжну фінансову звітність за період, що закінчився 31 березня 2022 року було затверджено до випуску від імені керівництва Компанії 08 червня 2022 року.</w:t>
      </w:r>
    </w:p>
    <w:p w:rsidR="00895A49" w:rsidRPr="00895A49" w:rsidRDefault="00895A49" w:rsidP="00895A49">
      <w:pPr>
        <w:pStyle w:val="af7"/>
        <w:widowControl w:val="0"/>
        <w:spacing w:after="0"/>
        <w:jc w:val="both"/>
        <w:rPr>
          <w:sz w:val="24"/>
          <w:szCs w:val="24"/>
          <w:lang w:eastAsia="en-US"/>
        </w:rPr>
      </w:pPr>
      <w:r w:rsidRPr="00895A49">
        <w:rPr>
          <w:sz w:val="24"/>
          <w:szCs w:val="24"/>
        </w:rPr>
        <w:t>24 лютого 2022 року російська федерація почала своє вторгнення в Україну з використанням прямої військової сили, що призвело до інтенсивної військової агресії проти Україні, яка на дату затвердження цієї фінансової звітності все ще триває. Війна продовжує створювати загрозу для господарської діяльності Компанії та є суттєвою невизначеністю щодо здатності Компанії продовжувати свою діяльність як безперервну діяльність.</w:t>
      </w:r>
    </w:p>
    <w:p w:rsidR="00895A49" w:rsidRPr="00895A49" w:rsidRDefault="00895A49" w:rsidP="00895A49">
      <w:pPr>
        <w:pStyle w:val="af7"/>
        <w:widowControl w:val="0"/>
        <w:spacing w:after="0"/>
        <w:jc w:val="both"/>
        <w:rPr>
          <w:sz w:val="24"/>
          <w:szCs w:val="24"/>
        </w:rPr>
      </w:pPr>
      <w:r w:rsidRPr="00895A49">
        <w:rPr>
          <w:sz w:val="24"/>
          <w:szCs w:val="24"/>
        </w:rPr>
        <w:t>Ситуація в Україні залишається невизначеною та непередбачуваною. На дату затвердження проміжної фінансової звітності Компанія не була залучена до конфлікту, але це залишається ризиком. Якщо територія навколо операцій Компанії стане осередком військових дій, це створить значний ризик для безпеки місцевого співтовариства, а також значний ризик для ключових активів та інфраструктури, необхідної для ефективної роботи Компанії.</w:t>
      </w:r>
    </w:p>
    <w:p w:rsidR="00895A49" w:rsidRPr="00895A49" w:rsidRDefault="00895A49" w:rsidP="00895A49">
      <w:pPr>
        <w:widowControl w:val="0"/>
        <w:spacing w:after="0" w:line="240" w:lineRule="auto"/>
        <w:jc w:val="both"/>
        <w:rPr>
          <w:rFonts w:ascii="Times New Roman" w:hAnsi="Times New Roman" w:cs="Times New Roman"/>
          <w:sz w:val="24"/>
          <w:szCs w:val="24"/>
          <w:lang w:eastAsia="en-US"/>
        </w:rPr>
      </w:pPr>
      <w:r w:rsidRPr="00895A49">
        <w:rPr>
          <w:rFonts w:ascii="Times New Roman" w:hAnsi="Times New Roman" w:cs="Times New Roman"/>
          <w:sz w:val="24"/>
          <w:szCs w:val="24"/>
          <w:lang w:eastAsia="en-US"/>
        </w:rPr>
        <w:t xml:space="preserve">Військові дії на території України, що наразі тривають, можуть мати вплив на показники та фінансові результати діяльності </w:t>
      </w:r>
      <w:proofErr w:type="spellStart"/>
      <w:r w:rsidRPr="00895A49">
        <w:rPr>
          <w:rFonts w:ascii="Times New Roman" w:hAnsi="Times New Roman" w:cs="Times New Roman"/>
          <w:sz w:val="24"/>
          <w:szCs w:val="24"/>
          <w:lang w:eastAsia="en-US"/>
        </w:rPr>
        <w:t>ПрАТ</w:t>
      </w:r>
      <w:proofErr w:type="spellEnd"/>
      <w:r w:rsidRPr="00895A49">
        <w:rPr>
          <w:rFonts w:ascii="Times New Roman" w:hAnsi="Times New Roman" w:cs="Times New Roman"/>
          <w:sz w:val="24"/>
          <w:szCs w:val="24"/>
          <w:lang w:eastAsia="en-US"/>
        </w:rPr>
        <w:t xml:space="preserve"> «СГУ» у 2022 році. </w:t>
      </w:r>
    </w:p>
    <w:p w:rsidR="00895A49" w:rsidRPr="00895A49" w:rsidRDefault="00895A49" w:rsidP="00895A49">
      <w:pPr>
        <w:pStyle w:val="docdata"/>
        <w:widowControl w:val="0"/>
        <w:spacing w:before="0" w:beforeAutospacing="0" w:after="0" w:afterAutospacing="0"/>
        <w:jc w:val="both"/>
      </w:pPr>
      <w:r w:rsidRPr="00895A49">
        <w:t xml:space="preserve">З початку 2022 року відбулося значне зниження ділової активності ключових клієнтів Компанії, загальний обсяг страхових платежів за період з 01.01.2022 р. по 08.06.2022 р. зменшився </w:t>
      </w:r>
      <w:bookmarkStart w:id="1" w:name="_GoBack"/>
      <w:bookmarkEnd w:id="1"/>
      <w:r w:rsidRPr="00895A49">
        <w:t>майже на 90%.</w:t>
      </w:r>
    </w:p>
    <w:p w:rsidR="00895A49" w:rsidRPr="00895A49" w:rsidRDefault="00895A49" w:rsidP="00895A49">
      <w:pPr>
        <w:pStyle w:val="docdata"/>
        <w:widowControl w:val="0"/>
        <w:spacing w:before="0" w:beforeAutospacing="0" w:after="0" w:afterAutospacing="0"/>
        <w:jc w:val="both"/>
        <w:rPr>
          <w:lang w:eastAsia="en-US"/>
        </w:rPr>
      </w:pPr>
      <w:r w:rsidRPr="00895A49">
        <w:rPr>
          <w:color w:val="000000"/>
        </w:rPr>
        <w:t>Дана фінансова звітність відображає поточну оцінку керівництва щодо можливого впливу умов здійснення діяльності в Україні на операції та фінансовий стан Компанії. Фінансова звітність не містить будь-яких коригувань відображених сум, які були б необхідні, якби Компанія була неспроможною продовжувати свою діяльність та реалізовувало свої активи не в ході звичайної діяльності. Майбутні умови можуть відрізнятися від оцінок керівництва. Дана фінансова звітність не включає ніяких коригувань, які могли б мати місце як результат такої невизначеності. Про такі коригування буде повідомлено якщо вони стануть відомими і їх буде можливо оцінити.</w:t>
      </w:r>
    </w:p>
    <w:p w:rsidR="00895A49" w:rsidRPr="00895A49" w:rsidRDefault="00895A49" w:rsidP="00895A49">
      <w:pPr>
        <w:widowControl w:val="0"/>
        <w:shd w:val="clear" w:color="auto" w:fill="FFFFFF"/>
        <w:autoSpaceDE w:val="0"/>
        <w:spacing w:after="0" w:line="240" w:lineRule="auto"/>
        <w:jc w:val="both"/>
        <w:rPr>
          <w:rFonts w:ascii="Times New Roman" w:hAnsi="Times New Roman" w:cs="Times New Roman"/>
          <w:sz w:val="24"/>
          <w:szCs w:val="24"/>
        </w:rPr>
      </w:pPr>
      <w:r w:rsidRPr="00895A49">
        <w:rPr>
          <w:rFonts w:ascii="Times New Roman" w:hAnsi="Times New Roman" w:cs="Times New Roman"/>
          <w:color w:val="000000"/>
          <w:sz w:val="24"/>
          <w:szCs w:val="24"/>
        </w:rPr>
        <w:t xml:space="preserve">Російське вторгнення в Україну розглядається як подія після звітної дати, що не коригує, і тому не </w:t>
      </w:r>
      <w:r w:rsidRPr="00895A49">
        <w:rPr>
          <w:rFonts w:ascii="Times New Roman" w:hAnsi="Times New Roman" w:cs="Times New Roman"/>
          <w:color w:val="000000"/>
          <w:sz w:val="24"/>
          <w:szCs w:val="24"/>
        </w:rPr>
        <w:lastRenderedPageBreak/>
        <w:t>впливає на балансову вартість активів та зобов'язань Компанії станом на 31.03.2022 року. Однак ця подія створює суттєву невизначеність щодо безперервної діяльності Компанії.</w:t>
      </w:r>
    </w:p>
    <w:p w:rsidR="00895A49" w:rsidRPr="00895A49" w:rsidRDefault="00895A49" w:rsidP="00895A49">
      <w:pPr>
        <w:widowControl w:val="0"/>
        <w:spacing w:after="0" w:line="240" w:lineRule="auto"/>
        <w:jc w:val="both"/>
        <w:rPr>
          <w:rFonts w:ascii="Times New Roman" w:hAnsi="Times New Roman" w:cs="Times New Roman"/>
          <w:sz w:val="24"/>
          <w:szCs w:val="24"/>
        </w:rPr>
      </w:pPr>
      <w:r w:rsidRPr="00895A49">
        <w:rPr>
          <w:rFonts w:ascii="Times New Roman" w:hAnsi="Times New Roman" w:cs="Times New Roman"/>
          <w:sz w:val="24"/>
          <w:szCs w:val="24"/>
        </w:rPr>
        <w:t xml:space="preserve">За винятком цієї події, немає суттєвих </w:t>
      </w:r>
      <w:proofErr w:type="spellStart"/>
      <w:r w:rsidRPr="00895A49">
        <w:rPr>
          <w:rFonts w:ascii="Times New Roman" w:hAnsi="Times New Roman" w:cs="Times New Roman"/>
          <w:sz w:val="24"/>
          <w:szCs w:val="24"/>
        </w:rPr>
        <w:t>коригуючих</w:t>
      </w:r>
      <w:proofErr w:type="spellEnd"/>
      <w:r w:rsidRPr="00895A49">
        <w:rPr>
          <w:rFonts w:ascii="Times New Roman" w:hAnsi="Times New Roman" w:cs="Times New Roman"/>
          <w:sz w:val="24"/>
          <w:szCs w:val="24"/>
        </w:rPr>
        <w:t xml:space="preserve"> або не </w:t>
      </w:r>
      <w:proofErr w:type="spellStart"/>
      <w:r w:rsidRPr="00895A49">
        <w:rPr>
          <w:rFonts w:ascii="Times New Roman" w:hAnsi="Times New Roman" w:cs="Times New Roman"/>
          <w:sz w:val="24"/>
          <w:szCs w:val="24"/>
        </w:rPr>
        <w:t>коригуючих</w:t>
      </w:r>
      <w:proofErr w:type="spellEnd"/>
      <w:r w:rsidRPr="00895A49">
        <w:rPr>
          <w:rFonts w:ascii="Times New Roman" w:hAnsi="Times New Roman" w:cs="Times New Roman"/>
          <w:sz w:val="24"/>
          <w:szCs w:val="24"/>
        </w:rPr>
        <w:t xml:space="preserve"> подій, що відбулися після звітної дати 31.03.2022 року.</w:t>
      </w:r>
    </w:p>
    <w:p w:rsidR="00895A49" w:rsidRPr="00895A49" w:rsidRDefault="00895A49" w:rsidP="00895A49">
      <w:pPr>
        <w:pStyle w:val="af6"/>
        <w:widowControl w:val="0"/>
        <w:spacing w:before="0" w:beforeAutospacing="0" w:after="0" w:afterAutospacing="0"/>
        <w:jc w:val="both"/>
        <w:rPr>
          <w:lang w:val="uk-UA"/>
        </w:rPr>
      </w:pPr>
    </w:p>
    <w:p w:rsidR="00895A49" w:rsidRPr="00895A49" w:rsidRDefault="00895A49" w:rsidP="00895A49">
      <w:pPr>
        <w:pStyle w:val="af6"/>
        <w:widowControl w:val="0"/>
        <w:spacing w:before="0" w:beforeAutospacing="0" w:after="0" w:afterAutospacing="0"/>
        <w:rPr>
          <w:lang w:val="uk-UA"/>
        </w:rPr>
      </w:pPr>
    </w:p>
    <w:p w:rsidR="00895A49" w:rsidRPr="00895A49" w:rsidRDefault="00895A49" w:rsidP="00895A49">
      <w:pPr>
        <w:pStyle w:val="af6"/>
        <w:widowControl w:val="0"/>
        <w:spacing w:before="0" w:beforeAutospacing="0" w:after="0" w:afterAutospacing="0"/>
        <w:rPr>
          <w:lang w:val="uk-UA"/>
        </w:rPr>
      </w:pPr>
      <w:r w:rsidRPr="00895A49">
        <w:rPr>
          <w:lang w:val="uk-UA"/>
        </w:rPr>
        <w:t xml:space="preserve">Голова правління                                   </w:t>
      </w:r>
      <w:r w:rsidRPr="00895A49">
        <w:rPr>
          <w:lang w:val="uk-UA"/>
        </w:rPr>
        <w:tab/>
      </w:r>
      <w:r w:rsidRPr="00895A49">
        <w:rPr>
          <w:lang w:val="uk-UA"/>
        </w:rPr>
        <w:tab/>
      </w:r>
      <w:r w:rsidRPr="00895A49">
        <w:rPr>
          <w:lang w:val="uk-UA"/>
        </w:rPr>
        <w:tab/>
        <w:t xml:space="preserve"> Гусєва І.О.</w:t>
      </w:r>
    </w:p>
    <w:p w:rsidR="00895A49" w:rsidRPr="00895A49" w:rsidRDefault="00895A49" w:rsidP="00895A49">
      <w:pPr>
        <w:pStyle w:val="af6"/>
        <w:widowControl w:val="0"/>
        <w:tabs>
          <w:tab w:val="left" w:pos="567"/>
          <w:tab w:val="left" w:pos="709"/>
          <w:tab w:val="left" w:pos="1134"/>
          <w:tab w:val="left" w:pos="5954"/>
          <w:tab w:val="left" w:pos="6237"/>
        </w:tabs>
        <w:spacing w:before="0" w:beforeAutospacing="0" w:after="0" w:afterAutospacing="0"/>
        <w:rPr>
          <w:lang w:val="uk-UA"/>
        </w:rPr>
      </w:pPr>
    </w:p>
    <w:p w:rsidR="00895A49" w:rsidRPr="00895A49" w:rsidRDefault="00895A49" w:rsidP="00895A49">
      <w:pPr>
        <w:pStyle w:val="af6"/>
        <w:widowControl w:val="0"/>
        <w:tabs>
          <w:tab w:val="left" w:pos="567"/>
          <w:tab w:val="left" w:pos="709"/>
          <w:tab w:val="left" w:pos="1134"/>
          <w:tab w:val="left" w:pos="5954"/>
          <w:tab w:val="left" w:pos="6237"/>
        </w:tabs>
        <w:spacing w:before="0" w:beforeAutospacing="0" w:after="0" w:afterAutospacing="0"/>
        <w:rPr>
          <w:lang w:val="uk-UA"/>
        </w:rPr>
      </w:pPr>
    </w:p>
    <w:p w:rsidR="00895A49" w:rsidRPr="00895A49" w:rsidRDefault="00895A49" w:rsidP="00895A49">
      <w:pPr>
        <w:pStyle w:val="af6"/>
        <w:widowControl w:val="0"/>
        <w:spacing w:before="0" w:beforeAutospacing="0" w:after="0" w:afterAutospacing="0"/>
        <w:rPr>
          <w:lang w:val="uk-UA"/>
        </w:rPr>
      </w:pPr>
      <w:r w:rsidRPr="00895A49">
        <w:rPr>
          <w:lang w:val="uk-UA"/>
        </w:rPr>
        <w:t xml:space="preserve">Головний бухгалтер                                        </w:t>
      </w:r>
      <w:r w:rsidRPr="00895A49">
        <w:rPr>
          <w:lang w:val="uk-UA"/>
        </w:rPr>
        <w:tab/>
        <w:t xml:space="preserve">              Боброва Т.Ф.</w:t>
      </w:r>
    </w:p>
    <w:p w:rsidR="00895A49" w:rsidRDefault="00895A49">
      <w:pPr>
        <w:widowControl w:val="0"/>
        <w:autoSpaceDE w:val="0"/>
        <w:autoSpaceDN w:val="0"/>
        <w:adjustRightInd w:val="0"/>
        <w:spacing w:after="0" w:line="240" w:lineRule="auto"/>
        <w:rPr>
          <w:rFonts w:ascii="Times New Roman CYR" w:hAnsi="Times New Roman CYR" w:cs="Times New Roman CYR"/>
          <w:sz w:val="24"/>
          <w:szCs w:val="24"/>
        </w:rPr>
      </w:pPr>
    </w:p>
    <w:p w:rsidR="00895A49" w:rsidRDefault="00895A49">
      <w:pPr>
        <w:widowControl w:val="0"/>
        <w:autoSpaceDE w:val="0"/>
        <w:autoSpaceDN w:val="0"/>
        <w:adjustRightInd w:val="0"/>
        <w:spacing w:after="0" w:line="240" w:lineRule="auto"/>
        <w:rPr>
          <w:rFonts w:ascii="Times New Roman CYR" w:hAnsi="Times New Roman CYR" w:cs="Times New Roman CYR"/>
          <w:sz w:val="24"/>
          <w:szCs w:val="24"/>
        </w:rPr>
        <w:sectPr w:rsidR="00895A49">
          <w:pgSz w:w="12240" w:h="15840"/>
          <w:pgMar w:top="850" w:right="850" w:bottom="850" w:left="1400" w:header="708" w:footer="708" w:gutter="0"/>
          <w:cols w:space="720"/>
          <w:noEndnote/>
        </w:sect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ХV. Проміжний звіт керівництва</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важливих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вiдбулися</w:t>
      </w:r>
      <w:proofErr w:type="spellEnd"/>
      <w:r>
        <w:rPr>
          <w:rFonts w:ascii="Times New Roman CYR" w:hAnsi="Times New Roman CYR" w:cs="Times New Roman CYR"/>
          <w:sz w:val="24"/>
          <w:szCs w:val="24"/>
        </w:rPr>
        <w:t xml:space="preserve"> упродовж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- 1-ого кварталу 2022 року, що </w:t>
      </w:r>
      <w:proofErr w:type="spellStart"/>
      <w:r>
        <w:rPr>
          <w:rFonts w:ascii="Times New Roman CYR" w:hAnsi="Times New Roman CYR" w:cs="Times New Roman CYR"/>
          <w:sz w:val="24"/>
          <w:szCs w:val="24"/>
        </w:rPr>
        <w:t>закiнчився</w:t>
      </w:r>
      <w:proofErr w:type="spellEnd"/>
      <w:r>
        <w:rPr>
          <w:rFonts w:ascii="Times New Roman CYR" w:hAnsi="Times New Roman CYR" w:cs="Times New Roman CYR"/>
          <w:sz w:val="24"/>
          <w:szCs w:val="24"/>
        </w:rPr>
        <w:t xml:space="preserve"> 31 березня 2022 року.</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1-му </w:t>
      </w:r>
      <w:proofErr w:type="spellStart"/>
      <w:r>
        <w:rPr>
          <w:rFonts w:ascii="Times New Roman CYR" w:hAnsi="Times New Roman CYR" w:cs="Times New Roman CYR"/>
          <w:sz w:val="24"/>
          <w:szCs w:val="24"/>
        </w:rPr>
        <w:t>кварталi</w:t>
      </w:r>
      <w:proofErr w:type="spellEnd"/>
      <w:r>
        <w:rPr>
          <w:rFonts w:ascii="Times New Roman CYR" w:hAnsi="Times New Roman CYR" w:cs="Times New Roman CYR"/>
          <w:sz w:val="24"/>
          <w:szCs w:val="24"/>
        </w:rPr>
        <w:t xml:space="preserve"> 2022 року Товариство не </w:t>
      </w:r>
      <w:proofErr w:type="spellStart"/>
      <w:r>
        <w:rPr>
          <w:rFonts w:ascii="Times New Roman CYR" w:hAnsi="Times New Roman CYR" w:cs="Times New Roman CYR"/>
          <w:sz w:val="24"/>
          <w:szCs w:val="24"/>
        </w:rPr>
        <w:t>здiйснювало</w:t>
      </w:r>
      <w:proofErr w:type="spellEnd"/>
      <w:r>
        <w:rPr>
          <w:rFonts w:ascii="Times New Roman CYR" w:hAnsi="Times New Roman CYR" w:cs="Times New Roman CYR"/>
          <w:sz w:val="24"/>
          <w:szCs w:val="24"/>
        </w:rPr>
        <w:t xml:space="preserve"> будь-яких </w:t>
      </w:r>
      <w:proofErr w:type="spellStart"/>
      <w:r>
        <w:rPr>
          <w:rFonts w:ascii="Times New Roman CYR" w:hAnsi="Times New Roman CYR" w:cs="Times New Roman CYR"/>
          <w:sz w:val="24"/>
          <w:szCs w:val="24"/>
        </w:rPr>
        <w:t>заходiв</w:t>
      </w:r>
      <w:proofErr w:type="spellEnd"/>
      <w:r>
        <w:rPr>
          <w:rFonts w:ascii="Times New Roman CYR" w:hAnsi="Times New Roman CYR" w:cs="Times New Roman CYR"/>
          <w:sz w:val="24"/>
          <w:szCs w:val="24"/>
        </w:rPr>
        <w:t xml:space="preserve">, що мали суттєвий вплив на його </w:t>
      </w:r>
      <w:proofErr w:type="spellStart"/>
      <w:r>
        <w:rPr>
          <w:rFonts w:ascii="Times New Roman CYR" w:hAnsi="Times New Roman CYR" w:cs="Times New Roman CYR"/>
          <w:sz w:val="24"/>
          <w:szCs w:val="24"/>
        </w:rPr>
        <w:t>фiнансове</w:t>
      </w:r>
      <w:proofErr w:type="spellEnd"/>
      <w:r>
        <w:rPr>
          <w:rFonts w:ascii="Times New Roman CYR" w:hAnsi="Times New Roman CYR" w:cs="Times New Roman CYR"/>
          <w:sz w:val="24"/>
          <w:szCs w:val="24"/>
        </w:rPr>
        <w:t xml:space="preserve"> становище. Зокрема, не </w:t>
      </w:r>
      <w:proofErr w:type="spellStart"/>
      <w:r>
        <w:rPr>
          <w:rFonts w:ascii="Times New Roman CYR" w:hAnsi="Times New Roman CYR" w:cs="Times New Roman CYR"/>
          <w:sz w:val="24"/>
          <w:szCs w:val="24"/>
        </w:rPr>
        <w:t>вiдбувалося</w:t>
      </w:r>
      <w:proofErr w:type="spellEnd"/>
      <w:r>
        <w:rPr>
          <w:rFonts w:ascii="Times New Roman CYR" w:hAnsi="Times New Roman CYR" w:cs="Times New Roman CYR"/>
          <w:sz w:val="24"/>
          <w:szCs w:val="24"/>
        </w:rPr>
        <w:t xml:space="preserve">: об'єднання </w:t>
      </w:r>
      <w:proofErr w:type="spellStart"/>
      <w:r>
        <w:rPr>
          <w:rFonts w:ascii="Times New Roman CYR" w:hAnsi="Times New Roman CYR" w:cs="Times New Roman CYR"/>
          <w:sz w:val="24"/>
          <w:szCs w:val="24"/>
        </w:rPr>
        <w:t>бiзнесу</w:t>
      </w:r>
      <w:proofErr w:type="spellEnd"/>
      <w:r>
        <w:rPr>
          <w:rFonts w:ascii="Times New Roman CYR" w:hAnsi="Times New Roman CYR" w:cs="Times New Roman CYR"/>
          <w:sz w:val="24"/>
          <w:szCs w:val="24"/>
        </w:rPr>
        <w:t xml:space="preserve">, припинення або прийняття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про припинення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iстотного</w:t>
      </w:r>
      <w:proofErr w:type="spellEnd"/>
      <w:r>
        <w:rPr>
          <w:rFonts w:ascii="Times New Roman CYR" w:hAnsi="Times New Roman CYR" w:cs="Times New Roman CYR"/>
          <w:sz w:val="24"/>
          <w:szCs w:val="24"/>
        </w:rPr>
        <w:t xml:space="preserve"> придбання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прийняття судових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Товариства.</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основних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 невизначеностей</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на </w:t>
      </w:r>
      <w:proofErr w:type="spellStart"/>
      <w:r>
        <w:rPr>
          <w:rFonts w:ascii="Times New Roman CYR" w:hAnsi="Times New Roman CYR" w:cs="Times New Roman CYR"/>
          <w:sz w:val="24"/>
          <w:szCs w:val="24"/>
        </w:rPr>
        <w:t>постiйнiй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вiдслiдковує</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суттєвими та </w:t>
      </w:r>
      <w:proofErr w:type="spellStart"/>
      <w:r>
        <w:rPr>
          <w:rFonts w:ascii="Times New Roman CYR" w:hAnsi="Times New Roman CYR" w:cs="Times New Roman CYR"/>
          <w:sz w:val="24"/>
          <w:szCs w:val="24"/>
        </w:rPr>
        <w:t>iншими</w:t>
      </w:r>
      <w:proofErr w:type="spellEnd"/>
      <w:r>
        <w:rPr>
          <w:rFonts w:ascii="Times New Roman CYR" w:hAnsi="Times New Roman CYR" w:cs="Times New Roman CYR"/>
          <w:sz w:val="24"/>
          <w:szCs w:val="24"/>
        </w:rPr>
        <w:t xml:space="preserve"> ризиками та невизначеностями, джерелами яких є як </w:t>
      </w:r>
      <w:proofErr w:type="spellStart"/>
      <w:r>
        <w:rPr>
          <w:rFonts w:ascii="Times New Roman CYR" w:hAnsi="Times New Roman CYR" w:cs="Times New Roman CYR"/>
          <w:sz w:val="24"/>
          <w:szCs w:val="24"/>
        </w:rPr>
        <w:t>зовнiшнє</w:t>
      </w:r>
      <w:proofErr w:type="spellEnd"/>
      <w:r>
        <w:rPr>
          <w:rFonts w:ascii="Times New Roman CYR" w:hAnsi="Times New Roman CYR" w:cs="Times New Roman CYR"/>
          <w:sz w:val="24"/>
          <w:szCs w:val="24"/>
        </w:rPr>
        <w:t xml:space="preserve">, так i </w:t>
      </w:r>
      <w:proofErr w:type="spellStart"/>
      <w:r>
        <w:rPr>
          <w:rFonts w:ascii="Times New Roman CYR" w:hAnsi="Times New Roman CYR" w:cs="Times New Roman CYR"/>
          <w:sz w:val="24"/>
          <w:szCs w:val="24"/>
        </w:rPr>
        <w:t>внутрiшнє</w:t>
      </w:r>
      <w:proofErr w:type="spellEnd"/>
      <w:r>
        <w:rPr>
          <w:rFonts w:ascii="Times New Roman CYR" w:hAnsi="Times New Roman CYR" w:cs="Times New Roman CYR"/>
          <w:sz w:val="24"/>
          <w:szCs w:val="24"/>
        </w:rPr>
        <w:t xml:space="preserve"> середовище, з урахуванням можливих </w:t>
      </w:r>
      <w:proofErr w:type="spellStart"/>
      <w:r>
        <w:rPr>
          <w:rFonts w:ascii="Times New Roman CYR" w:hAnsi="Times New Roman CYR" w:cs="Times New Roman CYR"/>
          <w:sz w:val="24"/>
          <w:szCs w:val="24"/>
        </w:rPr>
        <w:t>майбутнiх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сценарiїв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 xml:space="preserve">, що можуть мати негативний вплив на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Товариства.</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Основними ризиками,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притаманнi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небанкiвських</w:t>
      </w:r>
      <w:proofErr w:type="spellEnd"/>
      <w:r>
        <w:rPr>
          <w:rFonts w:ascii="Times New Roman CYR" w:hAnsi="Times New Roman CYR" w:cs="Times New Roman CYR"/>
          <w:sz w:val="24"/>
          <w:szCs w:val="24"/>
        </w:rPr>
        <w:t xml:space="preserve"> установ є кредитний, ринковий, </w:t>
      </w:r>
      <w:proofErr w:type="spellStart"/>
      <w:r>
        <w:rPr>
          <w:rFonts w:ascii="Times New Roman CYR" w:hAnsi="Times New Roman CYR" w:cs="Times New Roman CYR"/>
          <w:sz w:val="24"/>
          <w:szCs w:val="24"/>
        </w:rPr>
        <w:t>операцiйний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репутацiйний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стратегiчний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комплаенс</w:t>
      </w:r>
      <w:proofErr w:type="spellEnd"/>
      <w:r>
        <w:rPr>
          <w:rFonts w:ascii="Times New Roman CYR" w:hAnsi="Times New Roman CYR" w:cs="Times New Roman CYR"/>
          <w:sz w:val="24"/>
          <w:szCs w:val="24"/>
        </w:rPr>
        <w:t xml:space="preserve"> ризики та ризик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 xml:space="preserve">. Процес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Товариства  побудований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моделi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лiнiй</w:t>
      </w:r>
      <w:proofErr w:type="spellEnd"/>
      <w:r>
        <w:rPr>
          <w:rFonts w:ascii="Times New Roman CYR" w:hAnsi="Times New Roman CYR" w:cs="Times New Roman CYR"/>
          <w:sz w:val="24"/>
          <w:szCs w:val="24"/>
        </w:rPr>
        <w:t xml:space="preserve"> захисту та забезпечує участь в ньому </w:t>
      </w:r>
      <w:proofErr w:type="spellStart"/>
      <w:r>
        <w:rPr>
          <w:rFonts w:ascii="Times New Roman CYR" w:hAnsi="Times New Roman CYR" w:cs="Times New Roman CYR"/>
          <w:sz w:val="24"/>
          <w:szCs w:val="24"/>
        </w:rPr>
        <w:t>всiх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Товариства.  </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w:t>
      </w:r>
      <w:proofErr w:type="spellStart"/>
      <w:r>
        <w:rPr>
          <w:rFonts w:ascii="Times New Roman CYR" w:hAnsi="Times New Roman CYR" w:cs="Times New Roman CYR"/>
          <w:sz w:val="24"/>
          <w:szCs w:val="24"/>
        </w:rPr>
        <w:t>придiляє</w:t>
      </w:r>
      <w:proofErr w:type="spellEnd"/>
      <w:r>
        <w:rPr>
          <w:rFonts w:ascii="Times New Roman CYR" w:hAnsi="Times New Roman CYR" w:cs="Times New Roman CYR"/>
          <w:sz w:val="24"/>
          <w:szCs w:val="24"/>
        </w:rPr>
        <w:t xml:space="preserve"> дуже велику увагу </w:t>
      </w:r>
      <w:proofErr w:type="spellStart"/>
      <w:r>
        <w:rPr>
          <w:rFonts w:ascii="Times New Roman CYR" w:hAnsi="Times New Roman CYR" w:cs="Times New Roman CYR"/>
          <w:sz w:val="24"/>
          <w:szCs w:val="24"/>
        </w:rPr>
        <w:t>якостi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внутрiшнiх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процесiв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iншим</w:t>
      </w:r>
      <w:proofErr w:type="spellEnd"/>
      <w:r>
        <w:rPr>
          <w:rFonts w:ascii="Times New Roman CYR" w:hAnsi="Times New Roman CYR" w:cs="Times New Roman CYR"/>
          <w:sz w:val="24"/>
          <w:szCs w:val="24"/>
        </w:rPr>
        <w:t xml:space="preserve"> факторам,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можуть вплинути на </w:t>
      </w: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операцiйного</w:t>
      </w:r>
      <w:proofErr w:type="spellEnd"/>
      <w:r>
        <w:rPr>
          <w:rFonts w:ascii="Times New Roman CYR" w:hAnsi="Times New Roman CYR" w:cs="Times New Roman CYR"/>
          <w:sz w:val="24"/>
          <w:szCs w:val="24"/>
        </w:rPr>
        <w:t xml:space="preserve"> ризику установи. З метою </w:t>
      </w:r>
      <w:proofErr w:type="spellStart"/>
      <w:r>
        <w:rPr>
          <w:rFonts w:ascii="Times New Roman CYR" w:hAnsi="Times New Roman CYR" w:cs="Times New Roman CYR"/>
          <w:sz w:val="24"/>
          <w:szCs w:val="24"/>
        </w:rPr>
        <w:t>мiнiмiзацiї</w:t>
      </w:r>
      <w:proofErr w:type="spellEnd"/>
      <w:r>
        <w:rPr>
          <w:rFonts w:ascii="Times New Roman CYR" w:hAnsi="Times New Roman CYR" w:cs="Times New Roman CYR"/>
          <w:sz w:val="24"/>
          <w:szCs w:val="24"/>
        </w:rPr>
        <w:t xml:space="preserve"> даного ризику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як превентивний </w:t>
      </w:r>
      <w:proofErr w:type="spellStart"/>
      <w:r>
        <w:rPr>
          <w:rFonts w:ascii="Times New Roman CYR" w:hAnsi="Times New Roman CYR" w:cs="Times New Roman CYR"/>
          <w:sz w:val="24"/>
          <w:szCs w:val="24"/>
        </w:rPr>
        <w:t>аналiз</w:t>
      </w:r>
      <w:proofErr w:type="spellEnd"/>
      <w:r>
        <w:rPr>
          <w:rFonts w:ascii="Times New Roman CYR" w:hAnsi="Times New Roman CYR" w:cs="Times New Roman CYR"/>
          <w:sz w:val="24"/>
          <w:szCs w:val="24"/>
        </w:rPr>
        <w:t xml:space="preserve"> та усунення можливих джерел </w:t>
      </w:r>
      <w:proofErr w:type="spellStart"/>
      <w:r>
        <w:rPr>
          <w:rFonts w:ascii="Times New Roman CYR" w:hAnsi="Times New Roman CYR" w:cs="Times New Roman CYR"/>
          <w:sz w:val="24"/>
          <w:szCs w:val="24"/>
        </w:rPr>
        <w:t>операцiйного</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iнформацiйного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так i розробка </w:t>
      </w:r>
      <w:proofErr w:type="spellStart"/>
      <w:r>
        <w:rPr>
          <w:rFonts w:ascii="Times New Roman CYR" w:hAnsi="Times New Roman CYR" w:cs="Times New Roman CYR"/>
          <w:sz w:val="24"/>
          <w:szCs w:val="24"/>
        </w:rPr>
        <w:t>планiв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заходiв</w:t>
      </w:r>
      <w:proofErr w:type="spellEnd"/>
      <w:r>
        <w:rPr>
          <w:rFonts w:ascii="Times New Roman CYR" w:hAnsi="Times New Roman CYR" w:cs="Times New Roman CYR"/>
          <w:sz w:val="24"/>
          <w:szCs w:val="24"/>
        </w:rPr>
        <w:t xml:space="preserve"> для недопущення їх. </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на </w:t>
      </w:r>
      <w:proofErr w:type="spellStart"/>
      <w:r>
        <w:rPr>
          <w:rFonts w:ascii="Times New Roman CYR" w:hAnsi="Times New Roman CYR" w:cs="Times New Roman CYR"/>
          <w:sz w:val="24"/>
          <w:szCs w:val="24"/>
        </w:rPr>
        <w:t>постiйнiй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пiдтримує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власного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достатнiй</w:t>
      </w:r>
      <w:proofErr w:type="spellEnd"/>
      <w:r>
        <w:rPr>
          <w:rFonts w:ascii="Times New Roman CYR" w:hAnsi="Times New Roman CYR" w:cs="Times New Roman CYR"/>
          <w:sz w:val="24"/>
          <w:szCs w:val="24"/>
        </w:rPr>
        <w:t xml:space="preserve"> для покриття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в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з урахуванням можливих </w:t>
      </w:r>
      <w:proofErr w:type="spellStart"/>
      <w:r>
        <w:rPr>
          <w:rFonts w:ascii="Times New Roman CYR" w:hAnsi="Times New Roman CYR" w:cs="Times New Roman CYR"/>
          <w:sz w:val="24"/>
          <w:szCs w:val="24"/>
        </w:rPr>
        <w:t>майбутнiх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сценарiїв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w:t>
      </w:r>
    </w:p>
    <w:p w:rsidR="008D142D" w:rsidRDefault="008D142D">
      <w:pPr>
        <w:widowControl w:val="0"/>
        <w:autoSpaceDE w:val="0"/>
        <w:autoSpaceDN w:val="0"/>
        <w:adjustRightInd w:val="0"/>
        <w:spacing w:after="0" w:line="240" w:lineRule="auto"/>
        <w:jc w:val="both"/>
        <w:rPr>
          <w:rFonts w:ascii="Times New Roman CYR" w:hAnsi="Times New Roman CYR" w:cs="Times New Roman CYR"/>
          <w:sz w:val="24"/>
          <w:szCs w:val="24"/>
        </w:rPr>
      </w:pPr>
    </w:p>
    <w:p w:rsidR="008D142D" w:rsidRDefault="008D142D">
      <w:pPr>
        <w:widowControl w:val="0"/>
        <w:autoSpaceDE w:val="0"/>
        <w:autoSpaceDN w:val="0"/>
        <w:adjustRightInd w:val="0"/>
        <w:spacing w:after="0" w:line="240" w:lineRule="auto"/>
        <w:rPr>
          <w:rFonts w:ascii="Times New Roman CYR" w:hAnsi="Times New Roman CYR" w:cs="Times New Roman CYR"/>
          <w:sz w:val="24"/>
          <w:szCs w:val="24"/>
        </w:rPr>
      </w:pPr>
    </w:p>
    <w:p w:rsidR="008D142D" w:rsidRDefault="00F22F76">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ХVІ. Твердження щодо проміжної інформації</w:t>
      </w:r>
    </w:p>
    <w:p w:rsidR="008D142D" w:rsidRDefault="00F22F7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w:t>
      </w:r>
      <w:proofErr w:type="spellStart"/>
      <w:r>
        <w:rPr>
          <w:rFonts w:ascii="Times New Roman CYR" w:hAnsi="Times New Roman CYR" w:cs="Times New Roman CYR"/>
          <w:sz w:val="24"/>
          <w:szCs w:val="24"/>
        </w:rPr>
        <w:t>пiдставi</w:t>
      </w:r>
      <w:proofErr w:type="spellEnd"/>
      <w:r>
        <w:rPr>
          <w:rFonts w:ascii="Times New Roman CYR" w:hAnsi="Times New Roman CYR" w:cs="Times New Roman CYR"/>
          <w:sz w:val="24"/>
          <w:szCs w:val="24"/>
        </w:rPr>
        <w:t xml:space="preserve"> наданих повноважень,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особи </w:t>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здiйснюють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управлiнськi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функцiї</w:t>
      </w:r>
      <w:proofErr w:type="spellEnd"/>
      <w:r>
        <w:rPr>
          <w:rFonts w:ascii="Times New Roman CYR" w:hAnsi="Times New Roman CYR" w:cs="Times New Roman CYR"/>
          <w:sz w:val="24"/>
          <w:szCs w:val="24"/>
        </w:rPr>
        <w:t xml:space="preserve">, надають твердження того, що, </w:t>
      </w:r>
      <w:proofErr w:type="spellStart"/>
      <w:r>
        <w:rPr>
          <w:rFonts w:ascii="Times New Roman CYR" w:hAnsi="Times New Roman CYR" w:cs="Times New Roman CYR"/>
          <w:sz w:val="24"/>
          <w:szCs w:val="24"/>
        </w:rPr>
        <w:t>наскiльки</w:t>
      </w:r>
      <w:proofErr w:type="spellEnd"/>
      <w:r>
        <w:rPr>
          <w:rFonts w:ascii="Times New Roman CYR" w:hAnsi="Times New Roman CYR" w:cs="Times New Roman CYR"/>
          <w:sz w:val="24"/>
          <w:szCs w:val="24"/>
        </w:rPr>
        <w:t xml:space="preserve"> це їм </w:t>
      </w:r>
      <w:proofErr w:type="spellStart"/>
      <w:r>
        <w:rPr>
          <w:rFonts w:ascii="Times New Roman CYR" w:hAnsi="Times New Roman CYR" w:cs="Times New Roman CYR"/>
          <w:sz w:val="24"/>
          <w:szCs w:val="24"/>
        </w:rPr>
        <w:t>вiдомо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стандартiв</w:t>
      </w:r>
      <w:proofErr w:type="spellEnd"/>
      <w:r>
        <w:rPr>
          <w:rFonts w:ascii="Times New Roman CYR" w:hAnsi="Times New Roman CYR" w:cs="Times New Roman CYR"/>
          <w:sz w:val="24"/>
          <w:szCs w:val="24"/>
        </w:rPr>
        <w:t xml:space="preserve"> бухгалтерського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Законом України "Про бухгалтерський </w:t>
      </w:r>
      <w:proofErr w:type="spellStart"/>
      <w:r>
        <w:rPr>
          <w:rFonts w:ascii="Times New Roman CYR" w:hAnsi="Times New Roman CYR" w:cs="Times New Roman CYR"/>
          <w:sz w:val="24"/>
          <w:szCs w:val="24"/>
        </w:rPr>
        <w:t>облiк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стан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пасивiв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стан, прибутки та збитки, </w:t>
      </w:r>
      <w:proofErr w:type="spellStart"/>
      <w:r>
        <w:rPr>
          <w:rFonts w:ascii="Times New Roman CYR" w:hAnsi="Times New Roman CYR" w:cs="Times New Roman CYR"/>
          <w:sz w:val="24"/>
          <w:szCs w:val="24"/>
        </w:rPr>
        <w:t>промiжний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керiвництва</w:t>
      </w:r>
      <w:proofErr w:type="spellEnd"/>
      <w:r>
        <w:rPr>
          <w:rFonts w:ascii="Times New Roman CYR" w:hAnsi="Times New Roman CYR" w:cs="Times New Roman CYR"/>
          <w:sz w:val="24"/>
          <w:szCs w:val="24"/>
        </w:rPr>
        <w:t xml:space="preserve"> включає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частини четвертої </w:t>
      </w:r>
      <w:proofErr w:type="spellStart"/>
      <w:r>
        <w:rPr>
          <w:rFonts w:ascii="Times New Roman CYR" w:hAnsi="Times New Roman CYR" w:cs="Times New Roman CYR"/>
          <w:sz w:val="24"/>
          <w:szCs w:val="24"/>
        </w:rPr>
        <w:t>статтi</w:t>
      </w:r>
      <w:proofErr w:type="spellEnd"/>
      <w:r>
        <w:rPr>
          <w:rFonts w:ascii="Times New Roman CYR" w:hAnsi="Times New Roman CYR" w:cs="Times New Roman CYR"/>
          <w:sz w:val="24"/>
          <w:szCs w:val="24"/>
        </w:rPr>
        <w:t xml:space="preserve"> 127 Закону України "Про ринки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органiзованi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товарнi</w:t>
      </w:r>
      <w:proofErr w:type="spellEnd"/>
      <w:r>
        <w:rPr>
          <w:rFonts w:ascii="Times New Roman CYR" w:hAnsi="Times New Roman CYR" w:cs="Times New Roman CYR"/>
          <w:sz w:val="24"/>
          <w:szCs w:val="24"/>
        </w:rPr>
        <w:t xml:space="preserve"> ринки".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перебувають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контролем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немає, </w:t>
      </w:r>
      <w:proofErr w:type="spellStart"/>
      <w:r>
        <w:rPr>
          <w:rFonts w:ascii="Times New Roman CYR" w:hAnsi="Times New Roman CYR" w:cs="Times New Roman CYR"/>
          <w:sz w:val="24"/>
          <w:szCs w:val="24"/>
        </w:rPr>
        <w:t>консолiдована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не складається.</w:t>
      </w:r>
    </w:p>
    <w:p w:rsidR="00F22F76" w:rsidRDefault="00F22F76">
      <w:pPr>
        <w:widowControl w:val="0"/>
        <w:autoSpaceDE w:val="0"/>
        <w:autoSpaceDN w:val="0"/>
        <w:adjustRightInd w:val="0"/>
        <w:spacing w:after="0" w:line="240" w:lineRule="auto"/>
        <w:rPr>
          <w:rFonts w:ascii="Times New Roman CYR" w:hAnsi="Times New Roman CYR" w:cs="Times New Roman CYR"/>
          <w:sz w:val="24"/>
          <w:szCs w:val="24"/>
        </w:rPr>
      </w:pPr>
    </w:p>
    <w:sectPr w:rsidR="00F22F76" w:rsidSect="008D142D">
      <w:pgSz w:w="12240" w:h="15840"/>
      <w:pgMar w:top="850" w:right="850" w:bottom="850" w:left="1400" w:header="708" w:footer="708" w:gutter="0"/>
      <w:cols w:space="720"/>
      <w:noEndnote/>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ЛОМе"/>
    <w:panose1 w:val="02010600030101010101"/>
    <w:charset w:val="86"/>
    <w:family w:val="auto"/>
    <w:pitch w:val="variable"/>
    <w:sig w:usb0="00000003" w:usb1="288F0000" w:usb2="00000016" w:usb3="00000000" w:csb0="00040001" w:csb1="00000000"/>
  </w:font>
  <w:font w:name="EYInterstate">
    <w:altName w:val="MS Gothic"/>
    <w:panose1 w:val="00000000000000000000"/>
    <w:charset w:val="CC"/>
    <w:family w:val="swiss"/>
    <w:notTrueType/>
    <w:pitch w:val="default"/>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notTrueType/>
    <w:pitch w:val="variable"/>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BE5"/>
    <w:multiLevelType w:val="hybridMultilevel"/>
    <w:tmpl w:val="6F3E3A06"/>
    <w:lvl w:ilvl="0" w:tplc="A7A60506">
      <w:start w:val="1"/>
      <w:numFmt w:val="bullet"/>
      <w:lvlText w:val="-"/>
      <w:lvlJc w:val="left"/>
      <w:pPr>
        <w:ind w:left="1429" w:hanging="360"/>
      </w:pPr>
      <w:rPr>
        <w:rFonts w:ascii="Arial" w:hAnsi="Aria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ED07494"/>
    <w:multiLevelType w:val="hybridMultilevel"/>
    <w:tmpl w:val="4078B076"/>
    <w:lvl w:ilvl="0" w:tplc="51C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3478C9"/>
    <w:multiLevelType w:val="hybridMultilevel"/>
    <w:tmpl w:val="11729EEA"/>
    <w:lvl w:ilvl="0" w:tplc="8930925E">
      <w:start w:val="65535"/>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8A61332"/>
    <w:multiLevelType w:val="hybridMultilevel"/>
    <w:tmpl w:val="1626FFDA"/>
    <w:lvl w:ilvl="0" w:tplc="A7A60506">
      <w:start w:val="1"/>
      <w:numFmt w:val="bullet"/>
      <w:lvlText w:val="-"/>
      <w:lvlJc w:val="left"/>
      <w:pPr>
        <w:ind w:left="1429" w:hanging="360"/>
      </w:pPr>
      <w:rPr>
        <w:rFonts w:ascii="Arial" w:hAnsi="Aria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2D5D7838"/>
    <w:multiLevelType w:val="hybridMultilevel"/>
    <w:tmpl w:val="8696C9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19F3CCD"/>
    <w:multiLevelType w:val="multilevel"/>
    <w:tmpl w:val="9572C9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582664"/>
    <w:multiLevelType w:val="hybridMultilevel"/>
    <w:tmpl w:val="E5A6BBF4"/>
    <w:lvl w:ilvl="0" w:tplc="4E92A9AC">
      <w:start w:val="1"/>
      <w:numFmt w:val="russianLower"/>
      <w:lvlText w:val="(%1)"/>
      <w:lvlJc w:val="left"/>
      <w:pPr>
        <w:ind w:left="213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92B6E12"/>
    <w:multiLevelType w:val="hybridMultilevel"/>
    <w:tmpl w:val="F2344094"/>
    <w:lvl w:ilvl="0" w:tplc="2730DB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99376EF"/>
    <w:multiLevelType w:val="hybridMultilevel"/>
    <w:tmpl w:val="0D2239C4"/>
    <w:lvl w:ilvl="0" w:tplc="B8B6C46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8"/>
  </w:num>
  <w:num w:numId="4">
    <w:abstractNumId w:val="5"/>
  </w:num>
  <w:num w:numId="5">
    <w:abstractNumId w:val="2"/>
  </w:num>
  <w:num w:numId="6">
    <w:abstractNumId w:val="3"/>
  </w:num>
  <w:num w:numId="7">
    <w:abstractNumId w:val="0"/>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GrammaticalErrors/>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C6F3E"/>
    <w:rsid w:val="005C6F3E"/>
    <w:rsid w:val="006D4FEE"/>
    <w:rsid w:val="00895A49"/>
    <w:rsid w:val="008D142D"/>
    <w:rsid w:val="00DD584C"/>
    <w:rsid w:val="00F22F7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8D142D"/>
  </w:style>
  <w:style w:type="paragraph" w:styleId="1">
    <w:name w:val="heading 1"/>
    <w:basedOn w:val="a"/>
    <w:next w:val="a"/>
    <w:link w:val="10"/>
    <w:qFormat/>
    <w:rsid w:val="00895A49"/>
    <w:pPr>
      <w:pBdr>
        <w:bottom w:val="thinThickSmallGap" w:sz="12" w:space="1" w:color="858585"/>
      </w:pBdr>
      <w:spacing w:before="400" w:after="0" w:line="240" w:lineRule="auto"/>
      <w:jc w:val="center"/>
      <w:outlineLvl w:val="0"/>
    </w:pPr>
    <w:rPr>
      <w:rFonts w:ascii="Cambria" w:eastAsia="Times New Roman" w:hAnsi="Cambria" w:cs="Times New Roman"/>
      <w:caps/>
      <w:color w:val="595959"/>
      <w:spacing w:val="20"/>
      <w:sz w:val="28"/>
      <w:szCs w:val="28"/>
      <w:lang w:eastAsia="ru-RU"/>
    </w:rPr>
  </w:style>
  <w:style w:type="paragraph" w:styleId="2">
    <w:name w:val="heading 2"/>
    <w:basedOn w:val="a"/>
    <w:next w:val="a"/>
    <w:link w:val="20"/>
    <w:qFormat/>
    <w:rsid w:val="00895A49"/>
    <w:pPr>
      <w:pBdr>
        <w:bottom w:val="single" w:sz="4" w:space="1" w:color="585858"/>
      </w:pBdr>
      <w:spacing w:before="400" w:after="0" w:line="240" w:lineRule="auto"/>
      <w:jc w:val="center"/>
      <w:outlineLvl w:val="1"/>
    </w:pPr>
    <w:rPr>
      <w:rFonts w:ascii="Cambria" w:eastAsia="Times New Roman" w:hAnsi="Cambria" w:cs="Times New Roman"/>
      <w:caps/>
      <w:color w:val="595959"/>
      <w:spacing w:val="15"/>
      <w:sz w:val="24"/>
      <w:szCs w:val="24"/>
      <w:lang w:eastAsia="ru-RU"/>
    </w:rPr>
  </w:style>
  <w:style w:type="paragraph" w:styleId="3">
    <w:name w:val="heading 3"/>
    <w:basedOn w:val="a"/>
    <w:next w:val="a"/>
    <w:link w:val="30"/>
    <w:qFormat/>
    <w:rsid w:val="00895A49"/>
    <w:pPr>
      <w:pBdr>
        <w:top w:val="dotted" w:sz="4" w:space="1" w:color="585858"/>
        <w:bottom w:val="dotted" w:sz="4" w:space="1" w:color="585858"/>
      </w:pBdr>
      <w:spacing w:before="300" w:after="0" w:line="240" w:lineRule="auto"/>
      <w:jc w:val="center"/>
      <w:outlineLvl w:val="2"/>
    </w:pPr>
    <w:rPr>
      <w:rFonts w:ascii="Cambria" w:eastAsia="Times New Roman" w:hAnsi="Cambria" w:cs="Times New Roman"/>
      <w:caps/>
      <w:color w:val="585858"/>
      <w:sz w:val="24"/>
      <w:szCs w:val="24"/>
      <w:lang w:eastAsia="ru-RU"/>
    </w:rPr>
  </w:style>
  <w:style w:type="paragraph" w:styleId="4">
    <w:name w:val="heading 4"/>
    <w:basedOn w:val="a"/>
    <w:next w:val="a"/>
    <w:link w:val="40"/>
    <w:qFormat/>
    <w:rsid w:val="00895A49"/>
    <w:pPr>
      <w:pBdr>
        <w:bottom w:val="dotted" w:sz="4" w:space="1" w:color="858585"/>
      </w:pBdr>
      <w:spacing w:after="120" w:line="240" w:lineRule="auto"/>
      <w:jc w:val="center"/>
      <w:outlineLvl w:val="3"/>
    </w:pPr>
    <w:rPr>
      <w:rFonts w:ascii="Cambria" w:eastAsia="Times New Roman" w:hAnsi="Cambria" w:cs="Times New Roman"/>
      <w:caps/>
      <w:color w:val="585858"/>
      <w:spacing w:val="10"/>
      <w:sz w:val="20"/>
      <w:szCs w:val="20"/>
      <w:lang w:eastAsia="ru-RU"/>
    </w:rPr>
  </w:style>
  <w:style w:type="paragraph" w:styleId="5">
    <w:name w:val="heading 5"/>
    <w:basedOn w:val="a"/>
    <w:next w:val="a"/>
    <w:link w:val="50"/>
    <w:qFormat/>
    <w:rsid w:val="00895A49"/>
    <w:pPr>
      <w:spacing w:before="320" w:after="120" w:line="240" w:lineRule="auto"/>
      <w:jc w:val="center"/>
      <w:outlineLvl w:val="4"/>
    </w:pPr>
    <w:rPr>
      <w:rFonts w:ascii="Cambria" w:eastAsia="Times New Roman" w:hAnsi="Cambria" w:cs="Times New Roman"/>
      <w:caps/>
      <w:color w:val="585858"/>
      <w:spacing w:val="10"/>
      <w:sz w:val="20"/>
      <w:szCs w:val="20"/>
      <w:lang w:eastAsia="ru-RU"/>
    </w:rPr>
  </w:style>
  <w:style w:type="paragraph" w:styleId="6">
    <w:name w:val="heading 6"/>
    <w:basedOn w:val="a"/>
    <w:next w:val="a"/>
    <w:link w:val="60"/>
    <w:qFormat/>
    <w:rsid w:val="00895A49"/>
    <w:pPr>
      <w:spacing w:after="120" w:line="240" w:lineRule="auto"/>
      <w:jc w:val="center"/>
      <w:outlineLvl w:val="5"/>
    </w:pPr>
    <w:rPr>
      <w:rFonts w:ascii="Cambria" w:eastAsia="Times New Roman" w:hAnsi="Cambria" w:cs="Times New Roman"/>
      <w:caps/>
      <w:color w:val="858585"/>
      <w:spacing w:val="10"/>
      <w:sz w:val="20"/>
      <w:szCs w:val="20"/>
      <w:lang w:eastAsia="ru-RU"/>
    </w:rPr>
  </w:style>
  <w:style w:type="paragraph" w:styleId="7">
    <w:name w:val="heading 7"/>
    <w:basedOn w:val="a"/>
    <w:next w:val="a"/>
    <w:link w:val="70"/>
    <w:qFormat/>
    <w:rsid w:val="00895A49"/>
    <w:pPr>
      <w:spacing w:after="120" w:line="240" w:lineRule="auto"/>
      <w:jc w:val="center"/>
      <w:outlineLvl w:val="6"/>
    </w:pPr>
    <w:rPr>
      <w:rFonts w:ascii="Cambria" w:eastAsia="Times New Roman" w:hAnsi="Cambria" w:cs="Times New Roman"/>
      <w:i/>
      <w:iCs/>
      <w:caps/>
      <w:color w:val="858585"/>
      <w:spacing w:val="10"/>
      <w:sz w:val="20"/>
      <w:szCs w:val="20"/>
      <w:lang w:eastAsia="ru-RU"/>
    </w:rPr>
  </w:style>
  <w:style w:type="paragraph" w:styleId="8">
    <w:name w:val="heading 8"/>
    <w:basedOn w:val="a"/>
    <w:next w:val="a"/>
    <w:link w:val="80"/>
    <w:qFormat/>
    <w:rsid w:val="00895A49"/>
    <w:pPr>
      <w:spacing w:after="120" w:line="240" w:lineRule="auto"/>
      <w:jc w:val="center"/>
      <w:outlineLvl w:val="7"/>
    </w:pPr>
    <w:rPr>
      <w:rFonts w:ascii="Cambria" w:eastAsia="Times New Roman" w:hAnsi="Cambria" w:cs="Times New Roman"/>
      <w:caps/>
      <w:spacing w:val="10"/>
      <w:sz w:val="20"/>
      <w:szCs w:val="20"/>
      <w:lang w:eastAsia="ru-RU"/>
    </w:rPr>
  </w:style>
  <w:style w:type="paragraph" w:styleId="9">
    <w:name w:val="heading 9"/>
    <w:basedOn w:val="a"/>
    <w:next w:val="a"/>
    <w:link w:val="90"/>
    <w:qFormat/>
    <w:rsid w:val="00895A49"/>
    <w:pPr>
      <w:spacing w:after="120" w:line="240" w:lineRule="auto"/>
      <w:jc w:val="center"/>
      <w:outlineLvl w:val="8"/>
    </w:pPr>
    <w:rPr>
      <w:rFonts w:ascii="Cambria" w:eastAsia="Times New Roman" w:hAnsi="Cambria" w:cs="Times New Roman"/>
      <w:i/>
      <w:iCs/>
      <w:caps/>
      <w:spacing w:val="1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5A49"/>
    <w:rPr>
      <w:rFonts w:ascii="Cambria" w:eastAsia="Times New Roman" w:hAnsi="Cambria" w:cs="Times New Roman"/>
      <w:caps/>
      <w:color w:val="595959"/>
      <w:spacing w:val="20"/>
      <w:sz w:val="28"/>
      <w:szCs w:val="28"/>
      <w:lang w:eastAsia="ru-RU"/>
    </w:rPr>
  </w:style>
  <w:style w:type="character" w:customStyle="1" w:styleId="20">
    <w:name w:val="Заголовок 2 Знак"/>
    <w:basedOn w:val="a0"/>
    <w:link w:val="2"/>
    <w:rsid w:val="00895A49"/>
    <w:rPr>
      <w:rFonts w:ascii="Cambria" w:eastAsia="Times New Roman" w:hAnsi="Cambria" w:cs="Times New Roman"/>
      <w:caps/>
      <w:color w:val="595959"/>
      <w:spacing w:val="15"/>
      <w:sz w:val="24"/>
      <w:szCs w:val="24"/>
      <w:lang w:eastAsia="ru-RU"/>
    </w:rPr>
  </w:style>
  <w:style w:type="character" w:customStyle="1" w:styleId="30">
    <w:name w:val="Заголовок 3 Знак"/>
    <w:basedOn w:val="a0"/>
    <w:link w:val="3"/>
    <w:rsid w:val="00895A49"/>
    <w:rPr>
      <w:rFonts w:ascii="Cambria" w:eastAsia="Times New Roman" w:hAnsi="Cambria" w:cs="Times New Roman"/>
      <w:caps/>
      <w:color w:val="585858"/>
      <w:sz w:val="24"/>
      <w:szCs w:val="24"/>
      <w:lang w:eastAsia="ru-RU"/>
    </w:rPr>
  </w:style>
  <w:style w:type="character" w:customStyle="1" w:styleId="40">
    <w:name w:val="Заголовок 4 Знак"/>
    <w:basedOn w:val="a0"/>
    <w:link w:val="4"/>
    <w:rsid w:val="00895A49"/>
    <w:rPr>
      <w:rFonts w:ascii="Cambria" w:eastAsia="Times New Roman" w:hAnsi="Cambria" w:cs="Times New Roman"/>
      <w:caps/>
      <w:color w:val="585858"/>
      <w:spacing w:val="10"/>
      <w:sz w:val="20"/>
      <w:szCs w:val="20"/>
      <w:lang w:eastAsia="ru-RU"/>
    </w:rPr>
  </w:style>
  <w:style w:type="character" w:customStyle="1" w:styleId="50">
    <w:name w:val="Заголовок 5 Знак"/>
    <w:basedOn w:val="a0"/>
    <w:link w:val="5"/>
    <w:rsid w:val="00895A49"/>
    <w:rPr>
      <w:rFonts w:ascii="Cambria" w:eastAsia="Times New Roman" w:hAnsi="Cambria" w:cs="Times New Roman"/>
      <w:caps/>
      <w:color w:val="585858"/>
      <w:spacing w:val="10"/>
      <w:sz w:val="20"/>
      <w:szCs w:val="20"/>
      <w:lang w:eastAsia="ru-RU"/>
    </w:rPr>
  </w:style>
  <w:style w:type="character" w:customStyle="1" w:styleId="60">
    <w:name w:val="Заголовок 6 Знак"/>
    <w:basedOn w:val="a0"/>
    <w:link w:val="6"/>
    <w:rsid w:val="00895A49"/>
    <w:rPr>
      <w:rFonts w:ascii="Cambria" w:eastAsia="Times New Roman" w:hAnsi="Cambria" w:cs="Times New Roman"/>
      <w:caps/>
      <w:color w:val="858585"/>
      <w:spacing w:val="10"/>
      <w:sz w:val="20"/>
      <w:szCs w:val="20"/>
      <w:lang w:eastAsia="ru-RU"/>
    </w:rPr>
  </w:style>
  <w:style w:type="character" w:customStyle="1" w:styleId="70">
    <w:name w:val="Заголовок 7 Знак"/>
    <w:basedOn w:val="a0"/>
    <w:link w:val="7"/>
    <w:rsid w:val="00895A49"/>
    <w:rPr>
      <w:rFonts w:ascii="Cambria" w:eastAsia="Times New Roman" w:hAnsi="Cambria" w:cs="Times New Roman"/>
      <w:i/>
      <w:iCs/>
      <w:caps/>
      <w:color w:val="858585"/>
      <w:spacing w:val="10"/>
      <w:sz w:val="20"/>
      <w:szCs w:val="20"/>
      <w:lang w:eastAsia="ru-RU"/>
    </w:rPr>
  </w:style>
  <w:style w:type="character" w:customStyle="1" w:styleId="80">
    <w:name w:val="Заголовок 8 Знак"/>
    <w:basedOn w:val="a0"/>
    <w:link w:val="8"/>
    <w:rsid w:val="00895A49"/>
    <w:rPr>
      <w:rFonts w:ascii="Cambria" w:eastAsia="Times New Roman" w:hAnsi="Cambria" w:cs="Times New Roman"/>
      <w:caps/>
      <w:spacing w:val="10"/>
      <w:sz w:val="20"/>
      <w:szCs w:val="20"/>
      <w:lang w:eastAsia="ru-RU"/>
    </w:rPr>
  </w:style>
  <w:style w:type="character" w:customStyle="1" w:styleId="90">
    <w:name w:val="Заголовок 9 Знак"/>
    <w:basedOn w:val="a0"/>
    <w:link w:val="9"/>
    <w:rsid w:val="00895A49"/>
    <w:rPr>
      <w:rFonts w:ascii="Cambria" w:eastAsia="Times New Roman" w:hAnsi="Cambria" w:cs="Times New Roman"/>
      <w:i/>
      <w:iCs/>
      <w:caps/>
      <w:spacing w:val="10"/>
      <w:sz w:val="20"/>
      <w:szCs w:val="20"/>
      <w:lang w:eastAsia="ru-RU"/>
    </w:rPr>
  </w:style>
  <w:style w:type="paragraph" w:styleId="a3">
    <w:name w:val="caption"/>
    <w:basedOn w:val="a"/>
    <w:next w:val="a"/>
    <w:qFormat/>
    <w:rsid w:val="00895A49"/>
    <w:pPr>
      <w:spacing w:after="0" w:line="240" w:lineRule="auto"/>
    </w:pPr>
    <w:rPr>
      <w:rFonts w:ascii="Times New Roman" w:eastAsia="Times New Roman" w:hAnsi="Times New Roman" w:cs="Times New Roman"/>
      <w:caps/>
      <w:spacing w:val="10"/>
      <w:sz w:val="18"/>
      <w:szCs w:val="18"/>
    </w:rPr>
  </w:style>
  <w:style w:type="paragraph" w:styleId="a4">
    <w:name w:val="Title"/>
    <w:basedOn w:val="a"/>
    <w:next w:val="a"/>
    <w:link w:val="a5"/>
    <w:qFormat/>
    <w:rsid w:val="00895A49"/>
    <w:pPr>
      <w:pBdr>
        <w:top w:val="dotted" w:sz="2" w:space="1" w:color="595959"/>
        <w:bottom w:val="dotted" w:sz="2" w:space="6" w:color="595959"/>
      </w:pBdr>
      <w:spacing w:before="500" w:after="300" w:line="240" w:lineRule="auto"/>
      <w:jc w:val="center"/>
    </w:pPr>
    <w:rPr>
      <w:rFonts w:ascii="Cambria" w:eastAsia="Times New Roman" w:hAnsi="Cambria" w:cs="Times New Roman"/>
      <w:caps/>
      <w:color w:val="595959"/>
      <w:spacing w:val="50"/>
      <w:sz w:val="44"/>
      <w:szCs w:val="44"/>
      <w:lang w:eastAsia="ru-RU"/>
    </w:rPr>
  </w:style>
  <w:style w:type="character" w:customStyle="1" w:styleId="a5">
    <w:name w:val="Название Знак"/>
    <w:basedOn w:val="a0"/>
    <w:link w:val="a4"/>
    <w:rsid w:val="00895A49"/>
    <w:rPr>
      <w:rFonts w:ascii="Cambria" w:eastAsia="Times New Roman" w:hAnsi="Cambria" w:cs="Times New Roman"/>
      <w:caps/>
      <w:color w:val="595959"/>
      <w:spacing w:val="50"/>
      <w:sz w:val="44"/>
      <w:szCs w:val="44"/>
      <w:lang w:eastAsia="ru-RU"/>
    </w:rPr>
  </w:style>
  <w:style w:type="paragraph" w:styleId="a6">
    <w:name w:val="Subtitle"/>
    <w:basedOn w:val="a"/>
    <w:next w:val="a"/>
    <w:link w:val="a7"/>
    <w:qFormat/>
    <w:rsid w:val="00895A49"/>
    <w:pPr>
      <w:spacing w:after="560" w:line="240" w:lineRule="auto"/>
      <w:jc w:val="center"/>
    </w:pPr>
    <w:rPr>
      <w:rFonts w:ascii="Cambria" w:eastAsia="Times New Roman" w:hAnsi="Cambria" w:cs="Times New Roman"/>
      <w:caps/>
      <w:spacing w:val="20"/>
      <w:sz w:val="18"/>
      <w:szCs w:val="18"/>
      <w:lang w:eastAsia="ru-RU"/>
    </w:rPr>
  </w:style>
  <w:style w:type="character" w:customStyle="1" w:styleId="a7">
    <w:name w:val="Подзаголовок Знак"/>
    <w:basedOn w:val="a0"/>
    <w:link w:val="a6"/>
    <w:rsid w:val="00895A49"/>
    <w:rPr>
      <w:rFonts w:ascii="Cambria" w:eastAsia="Times New Roman" w:hAnsi="Cambria" w:cs="Times New Roman"/>
      <w:caps/>
      <w:spacing w:val="20"/>
      <w:sz w:val="18"/>
      <w:szCs w:val="18"/>
      <w:lang w:eastAsia="ru-RU"/>
    </w:rPr>
  </w:style>
  <w:style w:type="character" w:styleId="a8">
    <w:name w:val="Strong"/>
    <w:uiPriority w:val="22"/>
    <w:qFormat/>
    <w:rsid w:val="00895A49"/>
    <w:rPr>
      <w:b/>
      <w:bCs/>
      <w:color w:val="858585"/>
      <w:spacing w:val="5"/>
    </w:rPr>
  </w:style>
  <w:style w:type="character" w:styleId="a9">
    <w:name w:val="Emphasis"/>
    <w:qFormat/>
    <w:rsid w:val="00895A49"/>
    <w:rPr>
      <w:caps/>
      <w:spacing w:val="5"/>
      <w:sz w:val="20"/>
      <w:szCs w:val="20"/>
    </w:rPr>
  </w:style>
  <w:style w:type="paragraph" w:styleId="aa">
    <w:name w:val="No Spacing"/>
    <w:basedOn w:val="a"/>
    <w:link w:val="ab"/>
    <w:qFormat/>
    <w:rsid w:val="00895A49"/>
    <w:pPr>
      <w:spacing w:after="0" w:line="240" w:lineRule="auto"/>
    </w:pPr>
    <w:rPr>
      <w:rFonts w:ascii="Times New Roman" w:eastAsia="Times New Roman" w:hAnsi="Times New Roman" w:cs="Times New Roman"/>
      <w:sz w:val="24"/>
      <w:szCs w:val="24"/>
      <w:lang w:eastAsia="ru-RU"/>
    </w:rPr>
  </w:style>
  <w:style w:type="character" w:customStyle="1" w:styleId="ab">
    <w:name w:val="Без интервала Знак"/>
    <w:link w:val="aa"/>
    <w:rsid w:val="00895A49"/>
    <w:rPr>
      <w:rFonts w:ascii="Times New Roman" w:eastAsia="Times New Roman" w:hAnsi="Times New Roman" w:cs="Times New Roman"/>
      <w:sz w:val="24"/>
      <w:szCs w:val="24"/>
      <w:lang w:eastAsia="ru-RU"/>
    </w:rPr>
  </w:style>
  <w:style w:type="paragraph" w:styleId="ac">
    <w:name w:val="List Paragraph"/>
    <w:basedOn w:val="a"/>
    <w:link w:val="ad"/>
    <w:uiPriority w:val="34"/>
    <w:qFormat/>
    <w:rsid w:val="00895A4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d">
    <w:name w:val="Абзац списка Знак"/>
    <w:link w:val="ac"/>
    <w:uiPriority w:val="34"/>
    <w:rsid w:val="00895A49"/>
    <w:rPr>
      <w:rFonts w:ascii="Times New Roman" w:eastAsia="Times New Roman" w:hAnsi="Times New Roman" w:cs="Times New Roman"/>
      <w:sz w:val="24"/>
      <w:szCs w:val="24"/>
      <w:lang w:eastAsia="ru-RU"/>
    </w:rPr>
  </w:style>
  <w:style w:type="paragraph" w:styleId="21">
    <w:name w:val="Quote"/>
    <w:basedOn w:val="a"/>
    <w:next w:val="a"/>
    <w:link w:val="22"/>
    <w:qFormat/>
    <w:rsid w:val="00895A49"/>
    <w:pPr>
      <w:spacing w:after="0" w:line="240" w:lineRule="auto"/>
    </w:pPr>
    <w:rPr>
      <w:rFonts w:ascii="Cambria" w:eastAsia="Times New Roman" w:hAnsi="Cambria" w:cs="Times New Roman"/>
      <w:i/>
      <w:iCs/>
      <w:sz w:val="20"/>
      <w:szCs w:val="20"/>
      <w:lang w:eastAsia="ru-RU"/>
    </w:rPr>
  </w:style>
  <w:style w:type="character" w:customStyle="1" w:styleId="22">
    <w:name w:val="Цитата 2 Знак"/>
    <w:basedOn w:val="a0"/>
    <w:link w:val="21"/>
    <w:rsid w:val="00895A49"/>
    <w:rPr>
      <w:rFonts w:ascii="Cambria" w:eastAsia="Times New Roman" w:hAnsi="Cambria" w:cs="Times New Roman"/>
      <w:i/>
      <w:iCs/>
      <w:sz w:val="20"/>
      <w:szCs w:val="20"/>
      <w:lang w:eastAsia="ru-RU"/>
    </w:rPr>
  </w:style>
  <w:style w:type="paragraph" w:styleId="ae">
    <w:name w:val="Intense Quote"/>
    <w:basedOn w:val="a"/>
    <w:next w:val="a"/>
    <w:link w:val="af"/>
    <w:qFormat/>
    <w:rsid w:val="00895A49"/>
    <w:pPr>
      <w:pBdr>
        <w:top w:val="dotted" w:sz="2" w:space="10" w:color="595959"/>
        <w:bottom w:val="dotted" w:sz="2" w:space="4" w:color="595959"/>
      </w:pBdr>
      <w:spacing w:before="160" w:after="0" w:line="300" w:lineRule="auto"/>
      <w:ind w:left="1440" w:right="1440"/>
    </w:pPr>
    <w:rPr>
      <w:rFonts w:ascii="Cambria" w:eastAsia="Times New Roman" w:hAnsi="Cambria" w:cs="Times New Roman"/>
      <w:caps/>
      <w:color w:val="585858"/>
      <w:spacing w:val="5"/>
      <w:sz w:val="20"/>
      <w:szCs w:val="20"/>
      <w:lang w:eastAsia="ru-RU"/>
    </w:rPr>
  </w:style>
  <w:style w:type="character" w:customStyle="1" w:styleId="af">
    <w:name w:val="Выделенная цитата Знак"/>
    <w:basedOn w:val="a0"/>
    <w:link w:val="ae"/>
    <w:rsid w:val="00895A49"/>
    <w:rPr>
      <w:rFonts w:ascii="Cambria" w:eastAsia="Times New Roman" w:hAnsi="Cambria" w:cs="Times New Roman"/>
      <w:caps/>
      <w:color w:val="585858"/>
      <w:spacing w:val="5"/>
      <w:sz w:val="20"/>
      <w:szCs w:val="20"/>
      <w:lang w:eastAsia="ru-RU"/>
    </w:rPr>
  </w:style>
  <w:style w:type="character" w:styleId="af0">
    <w:name w:val="Subtle Emphasis"/>
    <w:qFormat/>
    <w:rsid w:val="00895A49"/>
    <w:rPr>
      <w:i/>
      <w:iCs/>
    </w:rPr>
  </w:style>
  <w:style w:type="character" w:styleId="af1">
    <w:name w:val="Intense Emphasis"/>
    <w:qFormat/>
    <w:rsid w:val="00895A49"/>
    <w:rPr>
      <w:i/>
      <w:iCs/>
      <w:caps/>
      <w:spacing w:val="10"/>
      <w:sz w:val="20"/>
      <w:szCs w:val="20"/>
    </w:rPr>
  </w:style>
  <w:style w:type="character" w:styleId="af2">
    <w:name w:val="Subtle Reference"/>
    <w:qFormat/>
    <w:rsid w:val="00895A49"/>
    <w:rPr>
      <w:rFonts w:ascii="Calibri" w:eastAsia="Times New Roman" w:hAnsi="Calibri" w:cs="Times New Roman"/>
      <w:i/>
      <w:iCs/>
      <w:color w:val="585858"/>
    </w:rPr>
  </w:style>
  <w:style w:type="character" w:styleId="af3">
    <w:name w:val="Intense Reference"/>
    <w:qFormat/>
    <w:rsid w:val="00895A49"/>
    <w:rPr>
      <w:rFonts w:ascii="Calibri" w:eastAsia="Times New Roman" w:hAnsi="Calibri" w:cs="Times New Roman"/>
      <w:b/>
      <w:bCs/>
      <w:i/>
      <w:iCs/>
      <w:color w:val="585858"/>
    </w:rPr>
  </w:style>
  <w:style w:type="character" w:styleId="af4">
    <w:name w:val="Book Title"/>
    <w:qFormat/>
    <w:rsid w:val="00895A49"/>
    <w:rPr>
      <w:caps/>
      <w:color w:val="585858"/>
      <w:spacing w:val="5"/>
      <w:u w:color="585858"/>
    </w:rPr>
  </w:style>
  <w:style w:type="paragraph" w:styleId="af5">
    <w:name w:val="TOC Heading"/>
    <w:basedOn w:val="1"/>
    <w:next w:val="a"/>
    <w:qFormat/>
    <w:rsid w:val="00895A49"/>
    <w:pPr>
      <w:outlineLvl w:val="9"/>
    </w:pPr>
    <w:rPr>
      <w:rFonts w:ascii="Times New Roman" w:eastAsia="Calibri" w:hAnsi="Times New Roman"/>
      <w:lang w:eastAsia="en-US" w:bidi="en-US"/>
    </w:rPr>
  </w:style>
  <w:style w:type="paragraph" w:styleId="af6">
    <w:name w:val="Normal (Web)"/>
    <w:basedOn w:val="a"/>
    <w:uiPriority w:val="99"/>
    <w:rsid w:val="00895A49"/>
    <w:pPr>
      <w:spacing w:before="100" w:beforeAutospacing="1" w:after="100" w:afterAutospacing="1" w:line="240" w:lineRule="auto"/>
    </w:pPr>
    <w:rPr>
      <w:rFonts w:ascii="Times New Roman" w:eastAsia="Times New Roman" w:hAnsi="Times New Roman" w:cs="Times New Roman"/>
      <w:sz w:val="24"/>
      <w:szCs w:val="24"/>
      <w:lang w:val="ru-RU"/>
    </w:rPr>
  </w:style>
  <w:style w:type="paragraph" w:styleId="af7">
    <w:name w:val="Body Text"/>
    <w:basedOn w:val="a"/>
    <w:link w:val="af8"/>
    <w:rsid w:val="00895A49"/>
    <w:pPr>
      <w:spacing w:after="120" w:line="240" w:lineRule="auto"/>
    </w:pPr>
    <w:rPr>
      <w:rFonts w:ascii="Times New Roman" w:eastAsia="Times New Roman" w:hAnsi="Times New Roman" w:cs="Times New Roman"/>
      <w:sz w:val="20"/>
      <w:szCs w:val="20"/>
      <w:lang w:eastAsia="ru-RU"/>
    </w:rPr>
  </w:style>
  <w:style w:type="character" w:customStyle="1" w:styleId="af8">
    <w:name w:val="Основной текст Знак"/>
    <w:basedOn w:val="a0"/>
    <w:link w:val="af7"/>
    <w:rsid w:val="00895A49"/>
    <w:rPr>
      <w:rFonts w:ascii="Times New Roman" w:eastAsia="Times New Roman" w:hAnsi="Times New Roman" w:cs="Times New Roman"/>
      <w:sz w:val="20"/>
      <w:szCs w:val="20"/>
      <w:lang w:eastAsia="ru-RU"/>
    </w:rPr>
  </w:style>
  <w:style w:type="paragraph" w:styleId="31">
    <w:name w:val="Body Text 3"/>
    <w:basedOn w:val="a"/>
    <w:link w:val="32"/>
    <w:rsid w:val="00895A49"/>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95A49"/>
    <w:rPr>
      <w:rFonts w:ascii="Times New Roman" w:eastAsia="Times New Roman" w:hAnsi="Times New Roman" w:cs="Times New Roman"/>
      <w:sz w:val="16"/>
      <w:szCs w:val="16"/>
      <w:lang w:eastAsia="ru-RU"/>
    </w:rPr>
  </w:style>
  <w:style w:type="paragraph" w:styleId="af9">
    <w:name w:val="Plain Text"/>
    <w:basedOn w:val="a"/>
    <w:link w:val="afa"/>
    <w:semiHidden/>
    <w:rsid w:val="00895A49"/>
    <w:pPr>
      <w:spacing w:after="0" w:line="240" w:lineRule="auto"/>
    </w:pPr>
    <w:rPr>
      <w:rFonts w:ascii="Courier New" w:eastAsia="Times New Roman" w:hAnsi="Courier New" w:cs="Times New Roman"/>
      <w:sz w:val="20"/>
      <w:szCs w:val="20"/>
      <w:lang w:eastAsia="ru-RU"/>
    </w:rPr>
  </w:style>
  <w:style w:type="character" w:customStyle="1" w:styleId="afa">
    <w:name w:val="Текст Знак"/>
    <w:basedOn w:val="a0"/>
    <w:link w:val="af9"/>
    <w:semiHidden/>
    <w:rsid w:val="00895A49"/>
    <w:rPr>
      <w:rFonts w:ascii="Courier New" w:eastAsia="Times New Roman" w:hAnsi="Courier New" w:cs="Times New Roman"/>
      <w:sz w:val="20"/>
      <w:szCs w:val="20"/>
      <w:lang w:eastAsia="ru-RU"/>
    </w:rPr>
  </w:style>
  <w:style w:type="paragraph" w:customStyle="1" w:styleId="Tahoma">
    <w:name w:val="Tahoma"/>
    <w:basedOn w:val="23"/>
    <w:rsid w:val="00895A49"/>
    <w:pPr>
      <w:widowControl w:val="0"/>
      <w:autoSpaceDE w:val="0"/>
      <w:autoSpaceDN w:val="0"/>
      <w:adjustRightInd w:val="0"/>
      <w:spacing w:line="260" w:lineRule="exact"/>
      <w:jc w:val="both"/>
    </w:pPr>
    <w:rPr>
      <w:rFonts w:ascii="Verdana" w:hAnsi="Verdana" w:cs="Tahoma"/>
      <w:sz w:val="18"/>
      <w:szCs w:val="18"/>
      <w:lang w:val="en-US" w:eastAsia="en-US"/>
    </w:rPr>
  </w:style>
  <w:style w:type="paragraph" w:styleId="23">
    <w:name w:val="Body Text 2"/>
    <w:basedOn w:val="a"/>
    <w:link w:val="24"/>
    <w:semiHidden/>
    <w:unhideWhenUsed/>
    <w:rsid w:val="00895A49"/>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semiHidden/>
    <w:rsid w:val="00895A49"/>
    <w:rPr>
      <w:rFonts w:ascii="Times New Roman" w:eastAsia="Times New Roman" w:hAnsi="Times New Roman" w:cs="Times New Roman"/>
      <w:sz w:val="24"/>
      <w:szCs w:val="24"/>
      <w:lang w:eastAsia="ru-RU"/>
    </w:rPr>
  </w:style>
  <w:style w:type="paragraph" w:customStyle="1" w:styleId="afb">
    <w:name w:val="Знак"/>
    <w:basedOn w:val="a"/>
    <w:autoRedefine/>
    <w:rsid w:val="00895A49"/>
    <w:pPr>
      <w:spacing w:after="160" w:line="240" w:lineRule="exact"/>
    </w:pPr>
    <w:rPr>
      <w:rFonts w:ascii="Times New Roman" w:eastAsia="SimSun" w:hAnsi="Times New Roman" w:cs="Times New Roman"/>
      <w:b/>
      <w:bCs/>
      <w:sz w:val="28"/>
      <w:szCs w:val="28"/>
      <w:lang w:val="en-US" w:eastAsia="en-US"/>
    </w:rPr>
  </w:style>
  <w:style w:type="character" w:styleId="afc">
    <w:name w:val="Hyperlink"/>
    <w:uiPriority w:val="99"/>
    <w:rsid w:val="00895A49"/>
    <w:rPr>
      <w:color w:val="0000FF"/>
      <w:u w:val="single"/>
    </w:rPr>
  </w:style>
  <w:style w:type="character" w:customStyle="1" w:styleId="grame">
    <w:name w:val="grame"/>
    <w:basedOn w:val="a0"/>
    <w:rsid w:val="00895A49"/>
  </w:style>
  <w:style w:type="paragraph" w:styleId="HTML">
    <w:name w:val="HTML Preformatted"/>
    <w:basedOn w:val="a"/>
    <w:link w:val="HTML0"/>
    <w:rsid w:val="0089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895A49"/>
    <w:rPr>
      <w:rFonts w:ascii="Courier New" w:eastAsia="Times New Roman" w:hAnsi="Courier New" w:cs="Courier New"/>
      <w:sz w:val="20"/>
      <w:szCs w:val="20"/>
      <w:lang w:val="ru-RU" w:eastAsia="ru-RU"/>
    </w:rPr>
  </w:style>
  <w:style w:type="paragraph" w:styleId="afd">
    <w:name w:val="header"/>
    <w:basedOn w:val="a"/>
    <w:link w:val="afe"/>
    <w:rsid w:val="00895A4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e">
    <w:name w:val="Верхний колонтитул Знак"/>
    <w:basedOn w:val="a0"/>
    <w:link w:val="afd"/>
    <w:rsid w:val="00895A49"/>
    <w:rPr>
      <w:rFonts w:ascii="Times New Roman" w:eastAsia="Times New Roman" w:hAnsi="Times New Roman" w:cs="Times New Roman"/>
      <w:sz w:val="24"/>
      <w:szCs w:val="24"/>
    </w:rPr>
  </w:style>
  <w:style w:type="paragraph" w:styleId="aff">
    <w:name w:val="footer"/>
    <w:basedOn w:val="a"/>
    <w:link w:val="aff0"/>
    <w:uiPriority w:val="99"/>
    <w:rsid w:val="00895A4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0">
    <w:name w:val="Нижний колонтитул Знак"/>
    <w:basedOn w:val="a0"/>
    <w:link w:val="aff"/>
    <w:uiPriority w:val="99"/>
    <w:rsid w:val="00895A49"/>
    <w:rPr>
      <w:rFonts w:ascii="Times New Roman" w:eastAsia="Times New Roman" w:hAnsi="Times New Roman" w:cs="Times New Roman"/>
      <w:sz w:val="24"/>
      <w:szCs w:val="24"/>
      <w:lang w:eastAsia="ru-RU"/>
    </w:rPr>
  </w:style>
  <w:style w:type="character" w:styleId="aff1">
    <w:name w:val="page number"/>
    <w:basedOn w:val="a0"/>
    <w:rsid w:val="00895A49"/>
  </w:style>
  <w:style w:type="paragraph" w:styleId="aff2">
    <w:name w:val="Balloon Text"/>
    <w:basedOn w:val="a"/>
    <w:link w:val="aff3"/>
    <w:rsid w:val="00895A49"/>
    <w:pPr>
      <w:spacing w:after="0" w:line="240" w:lineRule="auto"/>
    </w:pPr>
    <w:rPr>
      <w:rFonts w:ascii="Tahoma" w:eastAsia="Times New Roman" w:hAnsi="Tahoma" w:cs="Times New Roman"/>
      <w:sz w:val="16"/>
      <w:szCs w:val="16"/>
    </w:rPr>
  </w:style>
  <w:style w:type="character" w:customStyle="1" w:styleId="aff3">
    <w:name w:val="Текст выноски Знак"/>
    <w:basedOn w:val="a0"/>
    <w:link w:val="aff2"/>
    <w:rsid w:val="00895A49"/>
    <w:rPr>
      <w:rFonts w:ascii="Tahoma" w:eastAsia="Times New Roman" w:hAnsi="Tahoma" w:cs="Times New Roman"/>
      <w:sz w:val="16"/>
      <w:szCs w:val="16"/>
    </w:rPr>
  </w:style>
  <w:style w:type="table" w:styleId="aff4">
    <w:name w:val="Table Grid"/>
    <w:basedOn w:val="a1"/>
    <w:rsid w:val="00895A49"/>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rsid w:val="00895A49"/>
  </w:style>
  <w:style w:type="character" w:styleId="aff5">
    <w:name w:val="annotation reference"/>
    <w:rsid w:val="00895A49"/>
    <w:rPr>
      <w:sz w:val="16"/>
      <w:szCs w:val="16"/>
    </w:rPr>
  </w:style>
  <w:style w:type="paragraph" w:styleId="aff6">
    <w:name w:val="annotation text"/>
    <w:basedOn w:val="a"/>
    <w:link w:val="aff7"/>
    <w:rsid w:val="00895A49"/>
    <w:pPr>
      <w:spacing w:after="0" w:line="240" w:lineRule="auto"/>
    </w:pPr>
    <w:rPr>
      <w:rFonts w:ascii="Times New Roman" w:eastAsia="Times New Roman" w:hAnsi="Times New Roman" w:cs="Times New Roman"/>
      <w:sz w:val="20"/>
      <w:szCs w:val="20"/>
      <w:lang w:eastAsia="ru-RU"/>
    </w:rPr>
  </w:style>
  <w:style w:type="character" w:customStyle="1" w:styleId="aff7">
    <w:name w:val="Текст примечания Знак"/>
    <w:basedOn w:val="a0"/>
    <w:link w:val="aff6"/>
    <w:rsid w:val="00895A49"/>
    <w:rPr>
      <w:rFonts w:ascii="Times New Roman" w:eastAsia="Times New Roman" w:hAnsi="Times New Roman" w:cs="Times New Roman"/>
      <w:sz w:val="20"/>
      <w:szCs w:val="20"/>
      <w:lang w:eastAsia="ru-RU"/>
    </w:rPr>
  </w:style>
  <w:style w:type="paragraph" w:styleId="aff8">
    <w:name w:val="annotation subject"/>
    <w:basedOn w:val="aff6"/>
    <w:next w:val="aff6"/>
    <w:link w:val="aff9"/>
    <w:rsid w:val="00895A49"/>
    <w:rPr>
      <w:b/>
      <w:bCs/>
    </w:rPr>
  </w:style>
  <w:style w:type="character" w:customStyle="1" w:styleId="aff9">
    <w:name w:val="Тема примечания Знак"/>
    <w:basedOn w:val="aff7"/>
    <w:link w:val="aff8"/>
    <w:rsid w:val="00895A49"/>
    <w:rPr>
      <w:b/>
      <w:bCs/>
    </w:rPr>
  </w:style>
  <w:style w:type="paragraph" w:customStyle="1" w:styleId="Default">
    <w:name w:val="Default"/>
    <w:rsid w:val="00895A49"/>
    <w:pPr>
      <w:autoSpaceDE w:val="0"/>
      <w:autoSpaceDN w:val="0"/>
      <w:adjustRightInd w:val="0"/>
      <w:spacing w:after="0" w:line="240" w:lineRule="auto"/>
    </w:pPr>
    <w:rPr>
      <w:rFonts w:ascii="EYInterstate" w:eastAsia="Times New Roman" w:hAnsi="EYInterstate" w:cs="EYInterstate"/>
      <w:color w:val="000000"/>
      <w:sz w:val="24"/>
      <w:szCs w:val="24"/>
      <w:lang w:val="ru-RU" w:eastAsia="ru-RU"/>
    </w:rPr>
  </w:style>
  <w:style w:type="paragraph" w:customStyle="1" w:styleId="Tabletext">
    <w:name w:val="Tabletext"/>
    <w:basedOn w:val="a"/>
    <w:rsid w:val="00895A49"/>
    <w:pPr>
      <w:spacing w:before="40" w:after="40" w:line="240" w:lineRule="auto"/>
    </w:pPr>
    <w:rPr>
      <w:rFonts w:ascii="Times New Roman" w:eastAsia="Calibri" w:hAnsi="Times New Roman" w:cs="Times New Roman"/>
      <w:sz w:val="18"/>
      <w:szCs w:val="20"/>
      <w:lang w:val="en-US" w:eastAsia="en-US"/>
    </w:rPr>
  </w:style>
  <w:style w:type="character" w:customStyle="1" w:styleId="shorttext">
    <w:name w:val="short_text"/>
    <w:rsid w:val="00895A49"/>
  </w:style>
  <w:style w:type="character" w:customStyle="1" w:styleId="hps">
    <w:name w:val="hps"/>
    <w:rsid w:val="00895A49"/>
  </w:style>
  <w:style w:type="table" w:customStyle="1" w:styleId="11">
    <w:name w:val="Сітка таблиці1"/>
    <w:basedOn w:val="a1"/>
    <w:next w:val="aff4"/>
    <w:rsid w:val="00895A49"/>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nt">
    <w:name w:val="indent"/>
    <w:basedOn w:val="a"/>
    <w:rsid w:val="00895A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rsid w:val="00895A49"/>
  </w:style>
  <w:style w:type="paragraph" w:customStyle="1" w:styleId="rvps2">
    <w:name w:val="rvps2"/>
    <w:basedOn w:val="a"/>
    <w:rsid w:val="00895A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lid-translation">
    <w:name w:val="tlid-translation"/>
    <w:rsid w:val="00895A49"/>
  </w:style>
  <w:style w:type="paragraph" w:styleId="affa">
    <w:name w:val="Revision"/>
    <w:hidden/>
    <w:uiPriority w:val="99"/>
    <w:semiHidden/>
    <w:rsid w:val="00895A49"/>
    <w:pPr>
      <w:spacing w:after="0" w:line="240" w:lineRule="auto"/>
    </w:pPr>
    <w:rPr>
      <w:rFonts w:ascii="Times New Roman" w:eastAsia="Times New Roman" w:hAnsi="Times New Roman" w:cs="Times New Roman"/>
      <w:sz w:val="24"/>
      <w:szCs w:val="24"/>
    </w:rPr>
  </w:style>
  <w:style w:type="paragraph" w:customStyle="1" w:styleId="Style54">
    <w:name w:val="Style54"/>
    <w:basedOn w:val="a"/>
    <w:uiPriority w:val="99"/>
    <w:rsid w:val="00895A49"/>
    <w:pPr>
      <w:widowControl w:val="0"/>
      <w:autoSpaceDE w:val="0"/>
      <w:autoSpaceDN w:val="0"/>
      <w:adjustRightInd w:val="0"/>
      <w:spacing w:after="0" w:line="216" w:lineRule="exact"/>
      <w:jc w:val="both"/>
    </w:pPr>
    <w:rPr>
      <w:rFonts w:ascii="Garamond" w:eastAsia="Times New Roman" w:hAnsi="Garamond" w:cs="Times New Roman"/>
      <w:sz w:val="24"/>
      <w:szCs w:val="24"/>
      <w:lang w:val="ru-RU" w:eastAsia="ru-RU"/>
    </w:rPr>
  </w:style>
  <w:style w:type="paragraph" w:customStyle="1" w:styleId="docdata">
    <w:name w:val="docdata"/>
    <w:aliases w:val="docy,v5,2548,baiaagaaboqcaaadgggaaauocaaaaaaaaaaaaaaaaaaaaaaaaaaaaaaaaaaaaaaaaaaaaaaaaaaaaaaaaaaaaaaaaaaaaaaaaaaaaaaaaaaaaaaaaaaaaaaaaaaaaaaaaaaaaaaaaaaaaaaaaaaaaaaaaaaaaaaaaaaaaaaaaaaaaaaaaaaaaaaaaaaaaaaaaaaaaaaaaaaaaaaaaaaaaaaaaaaaaaaaaaaaaaaa"/>
    <w:basedOn w:val="a"/>
    <w:rsid w:val="00895A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k">
    <w:name w:val="buk"/>
    <w:basedOn w:val="a0"/>
    <w:rsid w:val="00895A4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nk.gov.ua/ua/legislation/Decision_02062022_261-rsh_b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nk.gov.ua/" TargetMode="External"/><Relationship Id="rId5" Type="http://schemas.openxmlformats.org/officeDocument/2006/relationships/hyperlink" Target="https://zn.ua/ukr/ECONOMICS/potreba-ukrajini-u-finansuvanni-derzhbjudzhetu-tsohorich-stanovit-blizko-60-mlrd-dolariv.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57</Pages>
  <Words>89923</Words>
  <Characters>51257</Characters>
  <Application>Microsoft Office Word</Application>
  <DocSecurity>0</DocSecurity>
  <Lines>427</Lines>
  <Paragraphs>281</Paragraphs>
  <ScaleCrop>false</ScaleCrop>
  <Company/>
  <LinksUpToDate>false</LinksUpToDate>
  <CharactersWithSpaces>140899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5</cp:revision>
  <dcterms:created xsi:type="dcterms:W3CDTF">2022-09-27T14:38:00Z</dcterms:created>
  <dcterms:modified xsi:type="dcterms:W3CDTF">2022-09-27T15:45:00Z</dcterms:modified>
</cp:coreProperties>
</file>