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9301C5" w:rsidTr="00326404">
        <w:trPr>
          <w:trHeight w:val="300"/>
        </w:trPr>
        <w:tc>
          <w:tcPr>
            <w:tcW w:w="550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09.11.2023</w:t>
            </w:r>
          </w:p>
        </w:tc>
      </w:tr>
      <w:tr w:rsidR="009301C5" w:rsidTr="00326404">
        <w:trPr>
          <w:trHeight w:val="300"/>
        </w:trPr>
        <w:tc>
          <w:tcPr>
            <w:tcW w:w="550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9301C5" w:rsidTr="00326404">
        <w:trPr>
          <w:trHeight w:val="300"/>
        </w:trPr>
        <w:tc>
          <w:tcPr>
            <w:tcW w:w="550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1109/2/23</w:t>
            </w:r>
          </w:p>
        </w:tc>
      </w:tr>
      <w:tr w:rsidR="009301C5" w:rsidTr="00326404">
        <w:trPr>
          <w:trHeight w:val="300"/>
        </w:trPr>
        <w:tc>
          <w:tcPr>
            <w:tcW w:w="550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9301C5" w:rsidRDefault="009301C5" w:rsidP="009301C5">
      <w:pPr>
        <w:widowControl w:val="0"/>
        <w:autoSpaceDE w:val="0"/>
        <w:autoSpaceDN w:val="0"/>
        <w:adjustRightInd w:val="0"/>
        <w:spacing w:after="0" w:line="240" w:lineRule="auto"/>
        <w:rPr>
          <w:rFonts w:ascii="Times New Roman CYR" w:hAnsi="Times New Roman CYR" w:cs="Times New Roman CYR"/>
          <w:sz w:val="20"/>
          <w:szCs w:val="20"/>
        </w:rPr>
      </w:pPr>
    </w:p>
    <w:p w:rsidR="009301C5" w:rsidRDefault="009301C5" w:rsidP="009301C5">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9301C5" w:rsidRDefault="009301C5" w:rsidP="009301C5">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9301C5" w:rsidTr="00326404">
        <w:trPr>
          <w:trHeight w:val="200"/>
        </w:trPr>
        <w:tc>
          <w:tcPr>
            <w:tcW w:w="364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Голова правлiння</w:t>
            </w:r>
          </w:p>
        </w:tc>
        <w:tc>
          <w:tcPr>
            <w:tcW w:w="550" w:type="dxa"/>
            <w:tcBorders>
              <w:top w:val="nil"/>
              <w:left w:val="nil"/>
              <w:bottom w:val="nil"/>
              <w:right w:val="nil"/>
            </w:tcBorders>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9301C5" w:rsidTr="00326404">
        <w:trPr>
          <w:trHeight w:val="200"/>
        </w:trPr>
        <w:tc>
          <w:tcPr>
            <w:tcW w:w="3640" w:type="dxa"/>
            <w:tcBorders>
              <w:top w:val="nil"/>
              <w:left w:val="nil"/>
              <w:bottom w:val="nil"/>
              <w:right w:val="nil"/>
            </w:tcBorders>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9301C5" w:rsidRDefault="009301C5" w:rsidP="009301C5">
      <w:pPr>
        <w:widowControl w:val="0"/>
        <w:autoSpaceDE w:val="0"/>
        <w:autoSpaceDN w:val="0"/>
        <w:adjustRightInd w:val="0"/>
        <w:spacing w:after="0" w:line="240" w:lineRule="auto"/>
        <w:rPr>
          <w:rFonts w:ascii="Times New Roman CYR" w:hAnsi="Times New Roman CYR" w:cs="Times New Roman CYR"/>
          <w:sz w:val="20"/>
          <w:szCs w:val="20"/>
        </w:rPr>
      </w:pP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0"/>
          <w:szCs w:val="20"/>
        </w:rPr>
      </w:pP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3 квартал 2023 року</w:t>
      </w:r>
    </w:p>
    <w:p w:rsidR="009301C5" w:rsidRDefault="009301C5" w:rsidP="009301C5">
      <w:pPr>
        <w:widowControl w:val="0"/>
        <w:autoSpaceDE w:val="0"/>
        <w:autoSpaceDN w:val="0"/>
        <w:adjustRightInd w:val="0"/>
        <w:spacing w:after="0" w:line="240" w:lineRule="auto"/>
        <w:rPr>
          <w:rFonts w:ascii="Times New Roman CYR" w:hAnsi="Times New Roman CYR" w:cs="Times New Roman CYR"/>
          <w:b/>
          <w:bCs/>
          <w:sz w:val="24"/>
          <w:szCs w:val="24"/>
        </w:rPr>
      </w:pP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"Страховi гарантiї України"</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33832772</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03115, м.Київ, вул. Львiвська, 22</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w:t>
      </w:r>
      <w:r w:rsidR="0013588C">
        <w:rPr>
          <w:rFonts w:ascii="Times New Roman CYR" w:hAnsi="Times New Roman CYR" w:cs="Times New Roman CYR"/>
          <w:sz w:val="24"/>
          <w:szCs w:val="24"/>
        </w:rPr>
        <w:t>лефон та факс: (044) 537-03-87</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iнфраструктури фондового ринку України", 21676262, Україна, DR/00002/ARM</w:t>
      </w:r>
    </w:p>
    <w:p w:rsidR="009301C5" w:rsidRDefault="009301C5" w:rsidP="009301C5">
      <w:pPr>
        <w:widowControl w:val="0"/>
        <w:autoSpaceDE w:val="0"/>
        <w:autoSpaceDN w:val="0"/>
        <w:adjustRightInd w:val="0"/>
        <w:spacing w:after="0" w:line="240" w:lineRule="auto"/>
        <w:rPr>
          <w:rFonts w:ascii="Times New Roman CYR" w:hAnsi="Times New Roman CYR" w:cs="Times New Roman CYR"/>
          <w:sz w:val="24"/>
          <w:szCs w:val="24"/>
        </w:rPr>
      </w:pP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9301C5" w:rsidRDefault="009301C5" w:rsidP="009301C5">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9301C5" w:rsidTr="00326404">
        <w:trPr>
          <w:trHeight w:val="300"/>
        </w:trPr>
        <w:tc>
          <w:tcPr>
            <w:tcW w:w="445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09.11.2023</w:t>
            </w:r>
          </w:p>
        </w:tc>
      </w:tr>
      <w:tr w:rsidR="009301C5" w:rsidTr="00326404">
        <w:trPr>
          <w:trHeight w:val="300"/>
        </w:trPr>
        <w:tc>
          <w:tcPr>
            <w:tcW w:w="445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9301C5" w:rsidRDefault="009301C5"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0"/>
          <w:szCs w:val="20"/>
        </w:rPr>
        <w:sectPr w:rsidR="00A123B9" w:rsidRPr="000F4905">
          <w:pgSz w:w="12240" w:h="15840"/>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Зміст</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b/>
          <w:bCs/>
          <w:sz w:val="28"/>
          <w:szCs w:val="28"/>
        </w:rPr>
        <w:tab/>
      </w:r>
      <w:r w:rsidRPr="000F4905">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боргом</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нових іпотечних активів до складу іпотечного покриття </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sidRPr="000F4905">
              <w:rPr>
                <w:rFonts w:ascii="Times New Roman CYR" w:hAnsi="Times New Roman CYR" w:cs="Times New Roman CYR"/>
                <w:sz w:val="24"/>
                <w:szCs w:val="24"/>
              </w:rPr>
              <w:lastRenderedPageBreak/>
              <w:t>виконання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22. Проміжна фінансова звітність емітента, складена за міжнародними стандартами фінансової звітності</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9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4"/>
                <w:szCs w:val="24"/>
              </w:rPr>
            </w:pPr>
            <w:r w:rsidRPr="000F4905">
              <w:rPr>
                <w:rFonts w:ascii="Times New Roman CYR" w:hAnsi="Times New Roman CYR" w:cs="Times New Roman CYR"/>
                <w:sz w:val="24"/>
                <w:szCs w:val="24"/>
              </w:rPr>
              <w:t>X</w:t>
            </w:r>
          </w:p>
        </w:tc>
      </w:tr>
      <w:tr w:rsidR="00A123B9" w:rsidRPr="000F4905">
        <w:trPr>
          <w:trHeight w:val="300"/>
        </w:trPr>
        <w:tc>
          <w:tcPr>
            <w:tcW w:w="10000" w:type="dxa"/>
            <w:gridSpan w:val="2"/>
            <w:tcBorders>
              <w:top w:val="nil"/>
              <w:left w:val="nil"/>
              <w:bottom w:val="nil"/>
              <w:right w:val="nil"/>
            </w:tcBorders>
            <w:vAlign w:val="bottom"/>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26. Примітки:</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про обсяги виробництва та реалiзацiї основних видiв продукцiї та iнформацiя про собiвартiсть реалiзованої продукцiї не надається, тому що Товариство не займається видами дiяльностi, що класифiкуються як переробна, добувна промисловiсть або виробництво та розподiлення електроенергiї, газу та води за класифiкатором видiв економiчної дiяльностi.</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про облiгацiї емiтента не надається, тому що Товариство не випускало облiгацiй.</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про iншi цiннi папери, випущенi емiтентом, не надається, тому що Товариство не випускало iншi цiннi папери.</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про похiднi цiннi папери емiтента не надається, тому що Товариство не випускало похiднi цiннi папери.</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Вiдомостi про участь емiтента в iнших юридичних особах не надається, тому що Товариство не є учасником в iнших юридичних особах.</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щодо корпоративного секретаря не надається, тому що посада корпоративного секретаря вiдсутня.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Iнфомацiя про вчинення значних правочинiв та Iнформацiя про вчинення правочинiв, щодо вчинення яких є заiнтересованiсть не надається, тому що таких правочинiв в звiтному перiодi в Товариствi не вчинялось.</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Iнформацiя про забезпечення випуску боргових цiнних паперiв не надається, тому що Товариство не випускало боргових цiнних паперiв.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Промiжна фiнансова звiтнiсть поручителя (страховика/гаранта), що здiйснює забезпечення випуску боргових цiнних паперiв (за кожним суб'єктом забезпечення окремо) не надається, тому що Товариство не здiйснювало випуск боргових цiнних паперiв.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Звiт про стан об'єкта нерухомостi (у разi емiсiї цiльових облiгацiй пiдприємств, виконання зобов'язань за якими здiйснюється шляхом передання об'єкта (частини об'єкта) житлового будiвництва) не надається, тому що Товариство не випускало цiльових облiгацiй.</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Промiжна фiнансова звiтнiсть емiтента, складена за положеннями (стандартами) бухгалтерського облiку не надається, тому що Товариство подає фiнансову звiтнiсть, складену за мiжнародними стандартами фiнансової звiтностi.</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Висновок про огляд промiжної фiнансової звiтностi, пiдготовлений аудитор (аудиторською фiрмою) не надається, тому що промiжна фiнансова звiтнiсть не перевiрялась аудитором (аудиторською фiрмою).</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 xml:space="preserve">Iнформацiя, зазначена в пунктах 12-18, не надається, тому що Товариство не випускало iпотечнi облiгацiї, iпотечнi сертифiкати та сертифiкати ФОН. </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sectPr w:rsidR="00A123B9" w:rsidRPr="000F4905">
          <w:pgSz w:w="12240" w:h="15840"/>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ІІІ. Основні відомості про емітента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1. Повне найменування</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Приватне акцiонерне товариство "Страховi гарантiї України"</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2. Дата проведення державної реєстрації</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16.11.2005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3. Територія (область)</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м.Київ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 xml:space="preserve">4. Статутний капітал (грн)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12000000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5. Відсоток акцій у статутному капіталі, що належать державі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7. Середня кількість працівників (осіб)</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12</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65.12 - Iншi види страхування, крiм страхування життя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65.20 - Перестрахування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9. Органи управління підприємства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 Загальнi збори акцiонерiв. 2. Правлiння.3. Ревiзор.</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A123B9" w:rsidRPr="000F4905">
        <w:trPr>
          <w:trHeight w:val="200"/>
        </w:trPr>
        <w:tc>
          <w:tcPr>
            <w:tcW w:w="39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b/>
                <w:bCs/>
              </w:rPr>
              <w:t>Ідентифікаційний код юридичної особи, якщо засновник - юридична особа</w:t>
            </w:r>
          </w:p>
        </w:tc>
      </w:tr>
      <w:tr w:rsidR="00A123B9" w:rsidRPr="000F4905">
        <w:trPr>
          <w:trHeight w:val="200"/>
        </w:trPr>
        <w:tc>
          <w:tcPr>
            <w:tcW w:w="39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Закрите акцiонерне товариство "Видавництво "МультiМедiаСтар"</w:t>
            </w:r>
            <w:r w:rsidRPr="000F4905">
              <w:rPr>
                <w:rFonts w:ascii="Times New Roman CYR" w:hAnsi="Times New Roman CYR" w:cs="Times New Roman CYR"/>
              </w:rPr>
              <w:tab/>
            </w:r>
          </w:p>
        </w:tc>
        <w:tc>
          <w:tcPr>
            <w:tcW w:w="4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Україна, 01103, м. Київ, вул. Кiквiдзе, 26</w:t>
            </w:r>
          </w:p>
        </w:tc>
        <w:tc>
          <w:tcPr>
            <w:tcW w:w="20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32982651</w:t>
            </w:r>
          </w:p>
        </w:tc>
      </w:tr>
      <w:tr w:rsidR="00A123B9" w:rsidRPr="000F4905">
        <w:trPr>
          <w:trHeight w:val="200"/>
        </w:trPr>
        <w:tc>
          <w:tcPr>
            <w:tcW w:w="39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Товариство з обмеженою вiдповiдальнiстю "Бритиш Моторс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Україна, 03069, м. Київ, вул. Кiровоградська, 21-А</w:t>
            </w:r>
          </w:p>
        </w:tc>
        <w:tc>
          <w:tcPr>
            <w:tcW w:w="20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31200706</w:t>
            </w:r>
          </w:p>
        </w:tc>
      </w:tr>
      <w:tr w:rsidR="00A123B9" w:rsidRPr="000F4905">
        <w:trPr>
          <w:trHeight w:val="200"/>
        </w:trPr>
        <w:tc>
          <w:tcPr>
            <w:tcW w:w="39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Корпорацiя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Україна, 01054, м. Київ, вул. Б.Хмельницького, 63-А</w:t>
            </w:r>
          </w:p>
        </w:tc>
        <w:tc>
          <w:tcPr>
            <w:tcW w:w="20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20048285</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sz w:val="24"/>
          <w:szCs w:val="24"/>
        </w:rPr>
        <w:t>11. Банки, що обслуговують емітента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АТ "ПРОКРЕДИТ БАНК", МФО 320984</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IBAN</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UA153209840000026509210110535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поточний рахунок</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UA153209840000026509210110535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АТ "Укрексiмбанк", МФО 322313</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IBAN</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UA853223130000026500000000217</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поточний рахунок</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lastRenderedPageBreak/>
        <w:tab/>
        <w:t>UA853223130000026500000000217</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Дата закінчення дії ліцензії (за наявності)</w:t>
            </w: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фiнансових ризикiв</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вiд вогневих ризикiв таризикiв стихiйних явищ</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вантажiв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вiдповiдальностi перед третiми особами [крiм цивiльної вiд-тi власникiв наземного транспорту, вiд-тi власникiв повiтряного транспорту, вiд-тi власникiв водного транспорту (включаючи вiд-ть перевiзника)</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наземного транспорту(крiм залiзничного)</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Медичне страхування (безперервнестрахування здоров'я)</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вiд нещасних випадкiв</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майна [крiмзалiзничного, наземного,повiтряного, водного транспорту(морського внутрiшнього та iншихвидiв водного транспорту), вантажiвта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584714</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повiтряного транспорту</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Страхування вiдповiдальностiвласникiв повiтряного транспорту(включаючи вiдповiдальнiстьперевiзника)</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Особисте страхування працiвникiв вiдомчої (крiм тих, якi працюють в установах i органiзацiях, що фiнансуються з Державного бюджету України) та сiльської пожежної охорони i членiв добровiльних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Особисте страхування вiд нещаснихвипадкiв на транспортi</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Страхування вiдповiдальностiсуб'єктiв перевезення небезпечнихвантажiв на випадок настаннянегативних наслiдкiв приперевезеннi небезпечних вантажiв</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r w:rsidR="00A123B9" w:rsidRPr="000F4905">
        <w:trPr>
          <w:trHeight w:val="200"/>
        </w:trPr>
        <w:tc>
          <w:tcPr>
            <w:tcW w:w="3155"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Авiацiйне страхування цивiльноїавiацiї</w:t>
            </w:r>
          </w:p>
        </w:tc>
        <w:tc>
          <w:tcPr>
            <w:tcW w:w="1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Державна комiсiя з регулювання ринкiв фiнансових послуг України</w:t>
            </w:r>
          </w:p>
        </w:tc>
        <w:tc>
          <w:tcPr>
            <w:tcW w:w="12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3155"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Лiцензiя безстрокова.</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t>V. Інформація про посадових осіб емітента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Голова правлiння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Гусєва Iрина Олександрiвна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1971</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29</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ПрАТ "Страховi гарантiї України, 33832772, заступник Голови правлiння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lastRenderedPageBreak/>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Член правлiнння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Боброва Тетяна Федорiвна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1960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45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Київська фiлiя банку "Грант", 14070197, заступник головного бухгалтера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Член правлiнння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Гладуш Iгор Вiкторович</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1966</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33</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ПрАТ "Страховi гарантiї України, 33832772, заступник Голови правлiння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Ревiзор</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Гаманков Володимир Iванович</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1956</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39</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ТОВ "Страхова компанiя "АГРОПОЛIС", 38451237, Генеральний директор</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Головний бухгалтер</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lastRenderedPageBreak/>
        <w:tab/>
        <w:t>Боброва Тетяна Федорiвна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1960</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45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Київська фiлiя банку "Грант", 14070197, заступник головного бухгалтера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1. Посада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Внутрiшнiй аудитор</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2. Прізвище, ім'я, по батькові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Кружаєв Антон Миколайович</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3. Рік народження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1968</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4. Освіта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Вища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5. Стаж роботи (років)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ab/>
        <w:t>35</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ТОВ "Iнтерстарч Україна", 38307757, керiвник проектiв</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r w:rsidRPr="000F4905">
        <w:rPr>
          <w:rFonts w:ascii="Times New Roman CYR" w:hAnsi="Times New Roman CYR" w:cs="Times New Roman CYR"/>
          <w:sz w:val="24"/>
          <w:szCs w:val="24"/>
        </w:rPr>
        <w:t>7. Опис</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ab/>
        <w:t>Змiни посадової особи у звiтному перiодi не було. Непогашеної судимостi за корисливi та посадовi злочини немає.</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t>VI. Інформація про господарську та фінансову діяльність емітента</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i/>
          <w:iCs/>
          <w:sz w:val="24"/>
          <w:szCs w:val="24"/>
        </w:rPr>
        <w:t>1.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Відсоток від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b/>
                <w:bCs/>
              </w:rPr>
              <w:t>Дата погашення</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векселями (усього)</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за фінансовими інвестиціями в корпоративні права (за кожним </w:t>
            </w:r>
            <w:r w:rsidRPr="000F4905">
              <w:rPr>
                <w:rFonts w:ascii="Times New Roman CYR" w:hAnsi="Times New Roman CYR" w:cs="Times New Roman CYR"/>
              </w:rPr>
              <w:lastRenderedPageBreak/>
              <w:t>видом):</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20557</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20607</w:t>
            </w:r>
          </w:p>
        </w:tc>
        <w:tc>
          <w:tcPr>
            <w:tcW w:w="19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X</w:t>
            </w:r>
          </w:p>
        </w:tc>
      </w:tr>
      <w:tr w:rsidR="00A123B9" w:rsidRPr="000F4905">
        <w:trPr>
          <w:trHeight w:val="300"/>
        </w:trPr>
        <w:tc>
          <w:tcPr>
            <w:tcW w:w="3780"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Довгостроковi зобов'язання i забезпечення складають 19224 тис. грн., з них:</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страховi резерви - 19224 тис. грн. (резерв збиткiв або резерв належних виплат - 17891 тис. грн., резерв незароблених премiй - 1333 тис. грн.).</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Поточнi зобов'язання i забезпечення складають 1383 тис.грн., у тому числi:</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Поточна кредиторська заборгованiсть за: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 xml:space="preserve"> товари, роботи, послуги - 4 тис. грн.</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Поточна кредиторська заборгованiсть за страховою дiяльнiстю - 1013 тис. грн.</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Поточнi забезпечення - 316  тис. грн.</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2240" w:h="15840"/>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VII. Відомості про цінні папери емітента</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4"/>
          <w:szCs w:val="24"/>
        </w:rPr>
      </w:pPr>
      <w:r w:rsidRPr="000F4905">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A123B9" w:rsidRPr="000F4905">
        <w:trPr>
          <w:trHeight w:val="300"/>
        </w:trPr>
        <w:tc>
          <w:tcPr>
            <w:tcW w:w="12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rPr>
            </w:pPr>
            <w:r w:rsidRPr="000F4905">
              <w:rPr>
                <w:rFonts w:ascii="Times New Roman CYR" w:hAnsi="Times New Roman CYR" w:cs="Times New Roman CYR"/>
                <w:b/>
                <w:bCs/>
              </w:rPr>
              <w:t>Частка у статутному капіталі (у відсотках)</w:t>
            </w:r>
          </w:p>
        </w:tc>
      </w:tr>
      <w:tr w:rsidR="00A123B9" w:rsidRPr="000F4905">
        <w:trPr>
          <w:trHeight w:val="300"/>
        </w:trPr>
        <w:tc>
          <w:tcPr>
            <w:tcW w:w="12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w:t>
            </w:r>
          </w:p>
        </w:tc>
      </w:tr>
      <w:tr w:rsidR="00A123B9" w:rsidRPr="000F4905">
        <w:trPr>
          <w:trHeight w:val="300"/>
        </w:trPr>
        <w:tc>
          <w:tcPr>
            <w:tcW w:w="1220"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Нацiональна комiсiя з цiнних паперiв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Акція проста бездокументарна іменна</w:t>
            </w:r>
          </w:p>
        </w:tc>
        <w:tc>
          <w:tcPr>
            <w:tcW w:w="16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w:t>
            </w:r>
          </w:p>
        </w:tc>
      </w:tr>
      <w:tr w:rsidR="00A123B9" w:rsidRPr="000F4905">
        <w:trPr>
          <w:trHeight w:val="300"/>
        </w:trPr>
        <w:tc>
          <w:tcPr>
            <w:tcW w:w="122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rPr>
            </w:pPr>
            <w:r w:rsidRPr="000F4905">
              <w:rPr>
                <w:rFonts w:ascii="Times New Roman CYR" w:hAnsi="Times New Roman CYR" w:cs="Times New Roman CYR"/>
              </w:rPr>
              <w:t xml:space="preserve">Протягом звiтного перiоду торгiвля цiнними паперами на внутрiшнiх та зовнiшнiх ринках не здiйснювалась. Фактiв включення/виключення цiнних паперiв емiтента до/з бiржового реєстру фондової бiржi не було. Додаткової емiсiї не було. </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6838" w:h="11906" w:orient="landscape"/>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8"/>
          <w:szCs w:val="28"/>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A123B9" w:rsidRPr="000F4905">
        <w:trPr>
          <w:trHeight w:val="300"/>
        </w:trPr>
        <w:tc>
          <w:tcPr>
            <w:tcW w:w="1462"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Строк обмеження</w:t>
            </w:r>
          </w:p>
        </w:tc>
      </w:tr>
      <w:tr w:rsidR="00A123B9" w:rsidRPr="000F4905">
        <w:trPr>
          <w:trHeight w:val="300"/>
        </w:trPr>
        <w:tc>
          <w:tcPr>
            <w:tcW w:w="1462"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7</w:t>
            </w:r>
          </w:p>
        </w:tc>
      </w:tr>
      <w:tr w:rsidR="00A123B9" w:rsidRPr="000F4905">
        <w:trPr>
          <w:trHeight w:val="300"/>
        </w:trPr>
        <w:tc>
          <w:tcPr>
            <w:tcW w:w="1462"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Нацiональна комiсiя з цiнних паперiв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w:t>
            </w:r>
          </w:p>
        </w:tc>
        <w:tc>
          <w:tcPr>
            <w:tcW w:w="35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Обмеження вiдсутнi.</w:t>
            </w:r>
          </w:p>
        </w:tc>
        <w:tc>
          <w:tcPr>
            <w:tcW w:w="2121"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0"/>
          <w:szCs w:val="20"/>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8"/>
          <w:szCs w:val="28"/>
        </w:rPr>
      </w:pPr>
      <w:r w:rsidRPr="000F4905">
        <w:rPr>
          <w:rFonts w:ascii="Times New Roman CYR" w:hAnsi="Times New Roman CYR" w:cs="Times New Roman CYR"/>
          <w:b/>
          <w:bCs/>
          <w:sz w:val="28"/>
          <w:szCs w:val="28"/>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A123B9" w:rsidRPr="000F4905">
        <w:trPr>
          <w:trHeight w:val="300"/>
        </w:trPr>
        <w:tc>
          <w:tcPr>
            <w:tcW w:w="762"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Загальна 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0"/>
                <w:szCs w:val="20"/>
              </w:rPr>
            </w:pPr>
            <w:r w:rsidRPr="000F4905">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A123B9" w:rsidRPr="000F4905">
        <w:trPr>
          <w:trHeight w:val="300"/>
        </w:trPr>
        <w:tc>
          <w:tcPr>
            <w:tcW w:w="762"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8</w:t>
            </w:r>
          </w:p>
        </w:tc>
      </w:tr>
      <w:tr w:rsidR="00A123B9" w:rsidRPr="000F4905">
        <w:trPr>
          <w:trHeight w:val="300"/>
        </w:trPr>
        <w:tc>
          <w:tcPr>
            <w:tcW w:w="762" w:type="dxa"/>
            <w:tcBorders>
              <w:top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sz w:val="20"/>
                <w:szCs w:val="20"/>
              </w:rPr>
            </w:pPr>
            <w:r w:rsidRPr="000F4905">
              <w:rPr>
                <w:rFonts w:ascii="Times New Roman CYR" w:hAnsi="Times New Roman CYR" w:cs="Times New Roman CYR"/>
                <w:sz w:val="20"/>
                <w:szCs w:val="20"/>
              </w:rPr>
              <w:t>0</w:t>
            </w:r>
          </w:p>
        </w:tc>
      </w:tr>
      <w:tr w:rsidR="00A123B9" w:rsidRPr="000F4905">
        <w:trPr>
          <w:trHeight w:val="300"/>
        </w:trPr>
        <w:tc>
          <w:tcPr>
            <w:tcW w:w="15083" w:type="dxa"/>
            <w:gridSpan w:val="8"/>
            <w:tcBorders>
              <w:top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sz w:val="20"/>
                <w:szCs w:val="20"/>
              </w:rPr>
            </w:pPr>
            <w:r w:rsidRPr="000F4905">
              <w:rPr>
                <w:rFonts w:ascii="Times New Roman CYR" w:hAnsi="Times New Roman CYR" w:cs="Times New Roman CYR"/>
                <w:b/>
                <w:bCs/>
                <w:sz w:val="20"/>
                <w:szCs w:val="20"/>
              </w:rPr>
              <w:t>Опис:</w:t>
            </w:r>
          </w:p>
        </w:tc>
      </w:tr>
      <w:tr w:rsidR="00A123B9" w:rsidRPr="000F4905">
        <w:trPr>
          <w:trHeight w:val="300"/>
        </w:trPr>
        <w:tc>
          <w:tcPr>
            <w:tcW w:w="15083" w:type="dxa"/>
            <w:gridSpan w:val="8"/>
            <w:tcBorders>
              <w:top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0"/>
                <w:szCs w:val="20"/>
              </w:rPr>
            </w:pPr>
            <w:r w:rsidRPr="000F4905">
              <w:rPr>
                <w:rFonts w:ascii="Times New Roman CYR" w:hAnsi="Times New Roman CYR" w:cs="Times New Roman CYR"/>
                <w:sz w:val="20"/>
                <w:szCs w:val="20"/>
              </w:rPr>
              <w:t>Обмеження вiдсутнi.</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0"/>
          <w:szCs w:val="20"/>
        </w:rPr>
        <w:sectPr w:rsidR="00A123B9" w:rsidRPr="000F4905">
          <w:pgSz w:w="16838" w:h="11906" w:orient="landscape"/>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A123B9" w:rsidRPr="000F4905">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КОДИ</w:t>
            </w:r>
          </w:p>
        </w:tc>
      </w:tr>
      <w:tr w:rsidR="00A123B9" w:rsidRPr="000F4905">
        <w:trPr>
          <w:gridBefore w:val="2"/>
          <w:wBefore w:w="6626" w:type="dxa"/>
          <w:trHeight w:val="300"/>
        </w:trPr>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01.10.2023</w:t>
            </w:r>
          </w:p>
        </w:tc>
      </w:tr>
      <w:tr w:rsidR="00A123B9" w:rsidRPr="000F4905">
        <w:trPr>
          <w:trHeight w:val="298"/>
        </w:trPr>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Приватне акцiонерне товариство "Страховi гарантiї України"</w:t>
            </w:r>
          </w:p>
        </w:tc>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33832772</w:t>
            </w:r>
          </w:p>
        </w:tc>
      </w:tr>
      <w:tr w:rsidR="00A123B9" w:rsidRPr="000F4905">
        <w:trPr>
          <w:trHeight w:val="298"/>
        </w:trPr>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м.Київ</w:t>
            </w:r>
          </w:p>
        </w:tc>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UA80000000000875983</w:t>
            </w:r>
          </w:p>
        </w:tc>
      </w:tr>
      <w:tr w:rsidR="00A123B9" w:rsidRPr="000F4905">
        <w:trPr>
          <w:trHeight w:val="298"/>
        </w:trPr>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230</w:t>
            </w:r>
          </w:p>
        </w:tc>
      </w:tr>
      <w:tr w:rsidR="00A123B9" w:rsidRPr="000F4905">
        <w:trPr>
          <w:trHeight w:val="298"/>
        </w:trPr>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види страхування, крім страхування життя</w:t>
            </w:r>
          </w:p>
        </w:tc>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65.12</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Середня кількість працівників: </w:t>
      </w:r>
      <w:r w:rsidRPr="000F4905">
        <w:rPr>
          <w:rFonts w:ascii="Times New Roman CYR" w:hAnsi="Times New Roman CYR" w:cs="Times New Roman CYR"/>
        </w:rPr>
        <w:t>12</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Адреса, телефон: </w:t>
      </w:r>
      <w:r w:rsidRPr="000F4905">
        <w:rPr>
          <w:rFonts w:ascii="Times New Roman CYR" w:hAnsi="Times New Roman CYR" w:cs="Times New Roman CYR"/>
        </w:rPr>
        <w:t>03115 м.Київ, вул. Львiвська, 22, (044) 537-03-87</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Одиниця виміру: </w:t>
      </w:r>
      <w:r w:rsidRPr="000F4905">
        <w:rPr>
          <w:rFonts w:ascii="Times New Roman CYR" w:hAnsi="Times New Roman CYR" w:cs="Times New Roman CYR"/>
        </w:rPr>
        <w:t>тис.грн. без десяткового знака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Складено </w:t>
      </w:r>
      <w:r w:rsidRPr="000F4905">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A123B9" w:rsidRPr="000F4905">
        <w:trPr>
          <w:trHeight w:val="298"/>
        </w:trPr>
        <w:tc>
          <w:tcPr>
            <w:tcW w:w="8280" w:type="dxa"/>
            <w:vMerge w:val="restart"/>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98"/>
        </w:trPr>
        <w:tc>
          <w:tcPr>
            <w:tcW w:w="8280" w:type="dxa"/>
            <w:vMerge w:val="restart"/>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v</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Баланс</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(Звіт про фінансовий стан)</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sz w:val="24"/>
          <w:szCs w:val="24"/>
        </w:rPr>
        <w:t>на 30.09.2023 p.</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A123B9" w:rsidRPr="000F4905">
        <w:trPr>
          <w:gridBefore w:val="3"/>
          <w:wBefore w:w="7150" w:type="dxa"/>
          <w:trHeight w:val="280"/>
        </w:trPr>
        <w:tc>
          <w:tcPr>
            <w:tcW w:w="1501" w:type="dxa"/>
            <w:gridSpan w:val="2"/>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1801001</w:t>
            </w:r>
          </w:p>
        </w:tc>
      </w:tr>
      <w:tr w:rsidR="00A123B9" w:rsidRPr="000F4905">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 кінець звітного періоду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388</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388</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( 129 )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( 129 )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8 369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7 761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22 770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22 770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( 14 401 )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( 15 009 )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8 628</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8 020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1 189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72</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349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272</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1 790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47 935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47 935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478</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697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478</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697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52 506</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50 758</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61 134</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58 778</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A123B9" w:rsidRPr="000F4905">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 кінець звітного періоду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5"/>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12 000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12 000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5 909</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5 551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19 237</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17 620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40 146</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38 171</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18 977</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19 224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17 900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17 891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1 077</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1 333</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18 977</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19 224</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37</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1 635</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1 013</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299</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316</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2 011</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1 383</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61 134</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58 778</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Керівник</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Iрина ГУСЄВА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Головний бухгалтер</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Тетяна БОБРОВА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A123B9" w:rsidRPr="000F4905">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КОДИ</w:t>
            </w:r>
          </w:p>
        </w:tc>
      </w:tr>
      <w:tr w:rsidR="00A123B9" w:rsidRPr="000F4905">
        <w:trPr>
          <w:gridBefore w:val="2"/>
          <w:wBefore w:w="6626" w:type="dxa"/>
          <w:trHeight w:val="300"/>
        </w:trPr>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01.10.2023</w:t>
            </w:r>
          </w:p>
        </w:tc>
      </w:tr>
      <w:tr w:rsidR="00A123B9" w:rsidRPr="000F4905">
        <w:trPr>
          <w:trHeight w:val="298"/>
        </w:trPr>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Приватне акцiонерне товариство "Страховi гарантiї України"</w:t>
            </w:r>
          </w:p>
        </w:tc>
        <w:tc>
          <w:tcPr>
            <w:tcW w:w="1654"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b/>
                <w:bCs/>
              </w:rPr>
            </w:pPr>
            <w:r w:rsidRPr="000F4905">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33832772</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Звіт про фінансові результати</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(Звіт про сукупний дохід)</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дев'ять місяців 2023 року</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Форма №2</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A123B9" w:rsidRPr="000F4905">
        <w:trPr>
          <w:gridBefore w:val="3"/>
          <w:wBefore w:w="7150" w:type="dxa"/>
          <w:trHeight w:val="280"/>
        </w:trPr>
        <w:tc>
          <w:tcPr>
            <w:tcW w:w="1501" w:type="dxa"/>
            <w:gridSpan w:val="2"/>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1801003</w:t>
            </w:r>
          </w:p>
        </w:tc>
      </w:tr>
      <w:tr w:rsidR="00A123B9" w:rsidRPr="000F4905">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аналогічний період попереднього року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931</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1 521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1 994</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( 1 026 )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( 81 )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256</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-2 529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-1 266</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( 3 )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Валовий:</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928</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1 521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-4 547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-4 547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174</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5 837</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( 4 274 )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( 3 668 )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( 298 )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( 58 )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( 93 )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Фінансовий результат від операційної діяльності: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( 3 554 )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( 916 )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1 997</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1 249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201</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( 559 )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( 64 )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Фінансовий результат до оподаткування: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( 1 915 )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Чистий фінансовий результат:</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259</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( 1 975 )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bl>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A123B9" w:rsidRPr="000F4905">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аналогічний період попереднього року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525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525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525</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-1 617</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784</w:t>
            </w:r>
          </w:p>
        </w:tc>
      </w:tr>
    </w:tbl>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A123B9" w:rsidRPr="000F4905">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аналогічний період попереднього року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68</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2 372</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1 773</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520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405</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608</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1 008</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1 097</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456</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4 665</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3 727</w:t>
            </w:r>
          </w:p>
        </w:tc>
      </w:tr>
    </w:tbl>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A123B9" w:rsidRPr="000F4905">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аналогічний період попереднього року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10 000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10 000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10 000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10 000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-197,500000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25,900000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-197,500000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25,900000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0,00</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Керівник</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Iрина ГУСЄВА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Головний бухгалтер</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Тетяна БОБРОВА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90"/>
        <w:gridCol w:w="1990"/>
        <w:gridCol w:w="1360"/>
      </w:tblGrid>
      <w:tr w:rsidR="00A123B9" w:rsidRPr="000F4905">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КОДИ</w:t>
            </w:r>
          </w:p>
        </w:tc>
      </w:tr>
      <w:tr w:rsidR="00A123B9" w:rsidRPr="000F4905">
        <w:trPr>
          <w:gridBefore w:val="2"/>
          <w:wBefore w:w="6650" w:type="dxa"/>
          <w:trHeight w:val="200"/>
        </w:trPr>
        <w:tc>
          <w:tcPr>
            <w:tcW w:w="1990"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01.10.2023</w:t>
            </w:r>
          </w:p>
        </w:tc>
      </w:tr>
      <w:tr w:rsidR="00A123B9" w:rsidRPr="000F4905">
        <w:tc>
          <w:tcPr>
            <w:tcW w:w="216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Приватне акцiонерне товариство "Страховi гарантiї України"</w:t>
            </w:r>
          </w:p>
        </w:tc>
        <w:tc>
          <w:tcPr>
            <w:tcW w:w="1990"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33832772</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Звіт про рух грошових коштів (за прямим методом)</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дев'ять місяців 2023 року</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A123B9" w:rsidRPr="000F4905">
        <w:trPr>
          <w:gridBefore w:val="3"/>
          <w:wBefore w:w="7500" w:type="dxa"/>
          <w:trHeight w:val="280"/>
        </w:trPr>
        <w:tc>
          <w:tcPr>
            <w:tcW w:w="1500" w:type="dxa"/>
            <w:gridSpan w:val="2"/>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1801004</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аналогічний період попереднього року</w:t>
            </w:r>
          </w:p>
        </w:tc>
      </w:tr>
      <w:tr w:rsidR="00A123B9" w:rsidRPr="000F4905">
        <w:trPr>
          <w:trHeight w:val="200"/>
        </w:trPr>
        <w:tc>
          <w:tcPr>
            <w:tcW w:w="58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I. Рух коштів у результаті операційної діяльності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95</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3 179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331</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79</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( 853 )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( 464 )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( 1 828 )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( 1 580 )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( 515 )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( 440 )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( 531 )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( 622 )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( 50 )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( 200 )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( 481 )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( 422 )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( 49 )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( 71 )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( 1 916 )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( 1 198 )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( 2 183 )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( 68 )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-4 462</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-4 100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II. Рух коштів у результаті інвестиційної діяльності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2 074</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1 068</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( 6 )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2 074</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1 062</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III. Рух коштів у результаті фінансової діяльності</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( 0 )</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-2 388</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-3 038</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47 026</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-80</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6 044</w:t>
            </w:r>
          </w:p>
        </w:tc>
      </w:tr>
      <w:tr w:rsidR="00A123B9" w:rsidRPr="000F4905">
        <w:trPr>
          <w:trHeight w:val="200"/>
        </w:trPr>
        <w:tc>
          <w:tcPr>
            <w:tcW w:w="58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47 935</w:t>
            </w:r>
          </w:p>
        </w:tc>
        <w:tc>
          <w:tcPr>
            <w:tcW w:w="1645"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50 032</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Керівник</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Iрина ГУСЄВА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Головний бухгалтер</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Тетяна БОБРОВА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2240" w:h="15840"/>
          <w:pgMar w:top="850" w:right="850" w:bottom="850" w:left="1400" w:header="708" w:footer="708" w:gutter="0"/>
          <w:cols w:space="720"/>
          <w:noEndnote/>
        </w:sectPr>
      </w:pPr>
    </w:p>
    <w:tbl>
      <w:tblPr>
        <w:tblW w:w="0" w:type="auto"/>
        <w:tblInd w:w="3168" w:type="dxa"/>
        <w:tblLayout w:type="fixed"/>
        <w:tblLook w:val="0000"/>
      </w:tblPr>
      <w:tblGrid>
        <w:gridCol w:w="2240"/>
        <w:gridCol w:w="5500"/>
        <w:gridCol w:w="1800"/>
        <w:gridCol w:w="2000"/>
      </w:tblGrid>
      <w:tr w:rsidR="00A123B9" w:rsidRPr="000F4905">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КОДИ</w:t>
            </w:r>
          </w:p>
        </w:tc>
      </w:tr>
      <w:tr w:rsidR="00A123B9" w:rsidRPr="000F4905">
        <w:trPr>
          <w:gridBefore w:val="2"/>
          <w:wBefore w:w="7740" w:type="dxa"/>
          <w:trHeight w:val="298"/>
        </w:trPr>
        <w:tc>
          <w:tcPr>
            <w:tcW w:w="1800"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01.10.2023</w:t>
            </w:r>
          </w:p>
        </w:tc>
      </w:tr>
      <w:tr w:rsidR="00A123B9" w:rsidRPr="000F4905">
        <w:tc>
          <w:tcPr>
            <w:tcW w:w="2240" w:type="dxa"/>
            <w:tcBorders>
              <w:top w:val="nil"/>
              <w:left w:val="nil"/>
              <w:bottom w:val="nil"/>
              <w:right w:val="nil"/>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Приватне акцiонерне товариство "Страховi гарантiї України"</w:t>
            </w:r>
          </w:p>
        </w:tc>
        <w:tc>
          <w:tcPr>
            <w:tcW w:w="1800" w:type="dxa"/>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33832772</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0F4905">
        <w:rPr>
          <w:rFonts w:ascii="Times New Roman CYR" w:hAnsi="Times New Roman CYR" w:cs="Times New Roman CYR"/>
          <w:b/>
          <w:bCs/>
          <w:sz w:val="24"/>
          <w:szCs w:val="24"/>
        </w:rPr>
        <w:t>Звіт про власний капітал</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 дев'ять місяців 2023 року</w:t>
      </w: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A123B9" w:rsidRPr="000F4905">
        <w:trPr>
          <w:gridBefore w:val="8"/>
          <w:wBefore w:w="11500" w:type="dxa"/>
          <w:trHeight w:val="280"/>
        </w:trPr>
        <w:tc>
          <w:tcPr>
            <w:tcW w:w="1800" w:type="dxa"/>
            <w:gridSpan w:val="2"/>
            <w:tcBorders>
              <w:top w:val="nil"/>
              <w:left w:val="nil"/>
              <w:bottom w:val="nil"/>
              <w:right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A123B9" w:rsidRPr="000F4905" w:rsidRDefault="00A123B9" w:rsidP="000F4905">
            <w:pPr>
              <w:widowControl w:val="0"/>
              <w:autoSpaceDE w:val="0"/>
              <w:autoSpaceDN w:val="0"/>
              <w:adjustRightInd w:val="0"/>
              <w:spacing w:after="0" w:line="240" w:lineRule="auto"/>
              <w:jc w:val="right"/>
              <w:rPr>
                <w:rFonts w:ascii="Times New Roman CYR" w:hAnsi="Times New Roman CYR" w:cs="Times New Roman CYR"/>
              </w:rPr>
            </w:pPr>
            <w:r w:rsidRPr="000F4905">
              <w:rPr>
                <w:rFonts w:ascii="Times New Roman CYR" w:hAnsi="Times New Roman CYR" w:cs="Times New Roman CYR"/>
              </w:rPr>
              <w:t>1801005</w:t>
            </w:r>
          </w:p>
        </w:tc>
      </w:tr>
      <w:tr w:rsidR="00A123B9" w:rsidRPr="000F4905">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Всього</w:t>
            </w:r>
          </w:p>
        </w:tc>
      </w:tr>
      <w:tr w:rsidR="00A123B9" w:rsidRPr="000F4905">
        <w:trPr>
          <w:trHeight w:val="200"/>
        </w:trPr>
        <w:tc>
          <w:tcPr>
            <w:tcW w:w="3050" w:type="dxa"/>
            <w:tcBorders>
              <w:top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b/>
                <w:bCs/>
              </w:rPr>
            </w:pPr>
            <w:r w:rsidRPr="000F4905">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5 909</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19 237</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40 146</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Коригування:</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5 909</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19 237</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40 146</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-1 975</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-1 975</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Розподіл прибутку: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Спрямування прибутку до </w:t>
            </w:r>
            <w:r w:rsidRPr="000F4905">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Внески учасників: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Вилучення капіталу: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-358</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-1 617</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-1 975</w:t>
            </w:r>
          </w:p>
        </w:tc>
      </w:tr>
      <w:tr w:rsidR="00A123B9" w:rsidRPr="000F4905">
        <w:trPr>
          <w:trHeight w:val="200"/>
        </w:trPr>
        <w:tc>
          <w:tcPr>
            <w:tcW w:w="3050" w:type="dxa"/>
            <w:tcBorders>
              <w:top w:val="single" w:sz="6" w:space="0" w:color="auto"/>
              <w:bottom w:val="single" w:sz="6" w:space="0" w:color="auto"/>
              <w:right w:val="single" w:sz="6" w:space="0" w:color="auto"/>
            </w:tcBorders>
            <w:vAlign w:val="center"/>
          </w:tcPr>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5 551</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17 620</w:t>
            </w:r>
          </w:p>
        </w:tc>
        <w:tc>
          <w:tcPr>
            <w:tcW w:w="15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rPr>
            </w:pPr>
            <w:r w:rsidRPr="000F4905">
              <w:rPr>
                <w:rFonts w:ascii="Times New Roman CYR" w:hAnsi="Times New Roman CYR" w:cs="Times New Roman CYR"/>
              </w:rPr>
              <w:t>38 171</w:t>
            </w:r>
          </w:p>
        </w:tc>
      </w:tr>
    </w:tbl>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Керівник</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Iрина ГУСЄВА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pPr>
      <w:r w:rsidRPr="000F4905">
        <w:rPr>
          <w:rFonts w:ascii="Times New Roman CYR" w:hAnsi="Times New Roman CYR" w:cs="Times New Roman CYR"/>
        </w:rPr>
        <w:t>Головний бухгалтер</w:t>
      </w:r>
      <w:r w:rsidRPr="000F4905">
        <w:rPr>
          <w:rFonts w:ascii="Times New Roman CYR" w:hAnsi="Times New Roman CYR" w:cs="Times New Roman CYR"/>
        </w:rPr>
        <w:tab/>
      </w:r>
      <w:r w:rsidRPr="000F4905">
        <w:rPr>
          <w:rFonts w:ascii="Times New Roman CYR" w:hAnsi="Times New Roman CYR" w:cs="Times New Roman CYR"/>
        </w:rPr>
        <w:tab/>
      </w:r>
      <w:r w:rsidRPr="000F4905">
        <w:rPr>
          <w:rFonts w:ascii="Times New Roman CYR" w:hAnsi="Times New Roman CYR" w:cs="Times New Roman CYR"/>
        </w:rPr>
        <w:tab/>
        <w:t>Тетяна БОБРОВА</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rPr>
        <w:sectPr w:rsidR="00A123B9" w:rsidRPr="000F4905">
          <w:pgSz w:w="16838" w:h="11906" w:orient="landscape"/>
          <w:pgMar w:top="850" w:right="850" w:bottom="850" w:left="1400" w:header="708" w:footer="708" w:gutter="0"/>
          <w:cols w:space="720"/>
          <w:noEndnote/>
        </w:sectPr>
      </w:pPr>
    </w:p>
    <w:p w:rsidR="00A123B9" w:rsidRPr="000F4905" w:rsidRDefault="00A123B9" w:rsidP="000F4905">
      <w:pPr>
        <w:widowControl w:val="0"/>
        <w:spacing w:after="0" w:line="240" w:lineRule="auto"/>
        <w:jc w:val="center"/>
        <w:rPr>
          <w:b/>
          <w:bCs/>
          <w:sz w:val="28"/>
          <w:szCs w:val="28"/>
        </w:rPr>
      </w:pPr>
    </w:p>
    <w:p w:rsidR="00A123B9" w:rsidRPr="000F4905" w:rsidRDefault="00A123B9" w:rsidP="000F4905">
      <w:pPr>
        <w:widowControl w:val="0"/>
        <w:spacing w:after="0" w:line="240" w:lineRule="auto"/>
        <w:jc w:val="center"/>
        <w:rPr>
          <w:rFonts w:ascii="Times New Roman" w:hAnsi="Times New Roman" w:cs="Times New Roman"/>
          <w:b/>
          <w:bCs/>
          <w:sz w:val="28"/>
          <w:szCs w:val="28"/>
        </w:rPr>
      </w:pPr>
      <w:r w:rsidRPr="000F4905">
        <w:rPr>
          <w:rFonts w:ascii="Times New Roman" w:hAnsi="Times New Roman" w:cs="Times New Roman"/>
          <w:b/>
          <w:bCs/>
          <w:sz w:val="28"/>
          <w:szCs w:val="28"/>
        </w:rPr>
        <w:t>ПРИМІТКИ</w:t>
      </w:r>
    </w:p>
    <w:p w:rsidR="00A123B9" w:rsidRPr="000F4905" w:rsidRDefault="00A123B9" w:rsidP="000F4905">
      <w:pPr>
        <w:widowControl w:val="0"/>
        <w:spacing w:after="0" w:line="240" w:lineRule="auto"/>
        <w:jc w:val="center"/>
        <w:rPr>
          <w:rFonts w:ascii="Times New Roman" w:hAnsi="Times New Roman" w:cs="Times New Roman"/>
          <w:b/>
          <w:bCs/>
          <w:sz w:val="28"/>
          <w:szCs w:val="28"/>
        </w:rPr>
      </w:pPr>
      <w:r w:rsidRPr="000F4905">
        <w:rPr>
          <w:rFonts w:ascii="Times New Roman" w:hAnsi="Times New Roman" w:cs="Times New Roman"/>
          <w:b/>
          <w:bCs/>
          <w:sz w:val="28"/>
          <w:szCs w:val="28"/>
        </w:rPr>
        <w:t>до проміжної фінансової звітності складеної відповідно до МСФЗ</w:t>
      </w:r>
    </w:p>
    <w:p w:rsidR="00A123B9" w:rsidRPr="000F4905" w:rsidRDefault="00A123B9" w:rsidP="000F4905">
      <w:pPr>
        <w:widowControl w:val="0"/>
        <w:spacing w:after="0" w:line="240" w:lineRule="auto"/>
        <w:jc w:val="center"/>
        <w:rPr>
          <w:rFonts w:ascii="Times New Roman" w:hAnsi="Times New Roman" w:cs="Times New Roman"/>
          <w:b/>
          <w:bCs/>
          <w:sz w:val="28"/>
          <w:szCs w:val="28"/>
        </w:rPr>
      </w:pPr>
      <w:r w:rsidRPr="000F4905">
        <w:rPr>
          <w:rFonts w:ascii="Times New Roman" w:hAnsi="Times New Roman" w:cs="Times New Roman"/>
          <w:b/>
          <w:bCs/>
          <w:sz w:val="28"/>
          <w:szCs w:val="28"/>
        </w:rPr>
        <w:t>Приватного акціонерного товариства «Страхові гарантії України»</w:t>
      </w:r>
    </w:p>
    <w:p w:rsidR="00A123B9" w:rsidRPr="000F4905" w:rsidRDefault="00A123B9" w:rsidP="000F4905">
      <w:pPr>
        <w:widowControl w:val="0"/>
        <w:spacing w:after="0" w:line="240" w:lineRule="auto"/>
        <w:jc w:val="center"/>
        <w:rPr>
          <w:rFonts w:ascii="Times New Roman" w:hAnsi="Times New Roman" w:cs="Times New Roman"/>
          <w:bCs/>
          <w:sz w:val="28"/>
          <w:szCs w:val="28"/>
        </w:rPr>
      </w:pPr>
      <w:r w:rsidRPr="000F4905">
        <w:rPr>
          <w:rFonts w:ascii="Times New Roman" w:hAnsi="Times New Roman" w:cs="Times New Roman"/>
          <w:b/>
          <w:bCs/>
          <w:sz w:val="28"/>
          <w:szCs w:val="28"/>
        </w:rPr>
        <w:t>станом на 30 вересня 2023 року</w:t>
      </w:r>
    </w:p>
    <w:p w:rsidR="00A123B9" w:rsidRPr="000F4905" w:rsidRDefault="00A123B9" w:rsidP="000F4905">
      <w:pPr>
        <w:widowControl w:val="0"/>
        <w:spacing w:after="0" w:line="240" w:lineRule="auto"/>
        <w:rPr>
          <w:rFonts w:ascii="Times New Roman" w:hAnsi="Times New Roman" w:cs="Times New Roman"/>
          <w:bCs/>
          <w:sz w:val="24"/>
          <w:szCs w:val="24"/>
        </w:rPr>
      </w:pPr>
    </w:p>
    <w:p w:rsidR="00A123B9" w:rsidRPr="000F4905" w:rsidRDefault="00A123B9" w:rsidP="000F4905">
      <w:pPr>
        <w:pStyle w:val="ac"/>
        <w:widowControl w:val="0"/>
        <w:ind w:left="0"/>
        <w:contextualSpacing w:val="0"/>
        <w:rPr>
          <w:b/>
        </w:rPr>
      </w:pPr>
      <w:r w:rsidRPr="000F4905">
        <w:rPr>
          <w:b/>
        </w:rPr>
        <w:t>1.   Загальна інформація</w:t>
      </w: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(а) Організаційна структура та основні види діяльності</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Приватне акціонерне товариство «Страхові гарантії України», скорочена назва ПрАТ «СГУ»  (надалі – Компанія), було зареєстровано 16.11.2005 року,як закрите акціонерне товариство «Страхова компанія «Страхові гарантії України» відповідно до чинного законодавства України. У 2011 році прийнято рішення про зміну типу Компанії у зв’язку з приведенням установчих документів у відповідність до Закону України «Про акціонерні товариства»  на Приватне акціонерне товариство «Страхові гарантії України».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Основними напрямками діяльності Компанії є надання послуг з страхування (крім страхування життя), перестрахування і фінансова діяльність, пов’язана з формуванням, розміщенням страхових резервів та їх управлінням.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здійснює свою діяльність згідно вимог чинного законодавства на підставі ліцензій, виданих  Державною комісією з регулювання ринків фінансових послуг. ПрАТ «СГУ» має  ліцензії на здійснення 15 видів страхової діяльності, в тому числі: 4 видів обов’язкового страхування та 11 видів добровільного страхування</w:t>
      </w:r>
      <w:r w:rsidRPr="000F4905">
        <w:rPr>
          <w:rStyle w:val="aff5"/>
          <w:rFonts w:ascii="Times New Roman" w:hAnsi="Times New Roman" w:cs="Times New Roman"/>
          <w:sz w:val="24"/>
          <w:szCs w:val="24"/>
          <w:lang w:eastAsia="ru-RU"/>
        </w:rPr>
        <w:t>.</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Рейтинговим комітетом РА «Експерт-Рейтинг» 2</w:t>
      </w:r>
      <w:r w:rsidRPr="000F4905">
        <w:rPr>
          <w:rFonts w:ascii="Times New Roman" w:hAnsi="Times New Roman" w:cs="Times New Roman"/>
          <w:bCs/>
          <w:sz w:val="24"/>
          <w:szCs w:val="24"/>
        </w:rPr>
        <w:t>грудня 2019</w:t>
      </w:r>
      <w:r w:rsidRPr="000F4905">
        <w:rPr>
          <w:rFonts w:ascii="Times New Roman" w:hAnsi="Times New Roman" w:cs="Times New Roman"/>
          <w:sz w:val="24"/>
          <w:szCs w:val="24"/>
        </w:rPr>
        <w:t xml:space="preserve">року ПрАТ «СГУ» було присвоєно рейтинг фінансової стійкості страховика /кредитний рейтинг за національною шкалою на рівні </w:t>
      </w:r>
      <w:r w:rsidRPr="000F4905">
        <w:rPr>
          <w:rFonts w:ascii="Times New Roman" w:hAnsi="Times New Roman" w:cs="Times New Roman"/>
          <w:b/>
          <w:sz w:val="24"/>
          <w:szCs w:val="24"/>
        </w:rPr>
        <w:t>uaAA</w:t>
      </w:r>
      <w:r w:rsidRPr="000F4905">
        <w:rPr>
          <w:rFonts w:ascii="Times New Roman" w:hAnsi="Times New Roman" w:cs="Times New Roman"/>
          <w:sz w:val="24"/>
          <w:szCs w:val="24"/>
        </w:rPr>
        <w:t xml:space="preserve">(рейтинг оновлюється кожні 6 місяців, останнє </w:t>
      </w:r>
      <w:r w:rsidRPr="000F4905">
        <w:rPr>
          <w:rFonts w:ascii="Times New Roman" w:hAnsi="Times New Roman" w:cs="Times New Roman"/>
          <w:color w:val="000000"/>
          <w:sz w:val="24"/>
          <w:szCs w:val="24"/>
          <w:shd w:val="clear" w:color="auto" w:fill="FFFFFF"/>
        </w:rPr>
        <w:t>оновлення рейтингу Компанії відбулося 03.08.2023р.).</w:t>
      </w:r>
      <w:r w:rsidR="000F4905" w:rsidRPr="007E1CED">
        <w:rPr>
          <w:rFonts w:ascii="Times New Roman" w:hAnsi="Times New Roman" w:cs="Times New Roman"/>
          <w:color w:val="000000"/>
          <w:sz w:val="24"/>
          <w:szCs w:val="24"/>
          <w:shd w:val="clear" w:color="auto" w:fill="FFFFFF"/>
        </w:rPr>
        <w:t xml:space="preserve"> </w:t>
      </w:r>
      <w:r w:rsidRPr="000F4905">
        <w:rPr>
          <w:rFonts w:ascii="Times New Roman" w:hAnsi="Times New Roman" w:cs="Times New Roman"/>
          <w:sz w:val="24"/>
          <w:szCs w:val="24"/>
        </w:rPr>
        <w:t xml:space="preserve">Страховик з рейтингом uaAA характеризується дуже високим рівнем фінансової стійкості порівняно з іншими українськими страховиками.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sz w:val="24"/>
          <w:szCs w:val="24"/>
        </w:rPr>
        <w:t>Компанія не має окремих територіальних відділень.</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Місцезнаходження офісу Компанії: </w:t>
      </w:r>
      <w:r w:rsidRPr="000F4905">
        <w:rPr>
          <w:rFonts w:ascii="Times New Roman" w:hAnsi="Times New Roman" w:cs="Times New Roman"/>
          <w:bCs/>
          <w:sz w:val="24"/>
          <w:szCs w:val="24"/>
        </w:rPr>
        <w:t>Україна, 03115, м. Київ, вул. Львівська, 22.</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Станом на 30вересня 2023загальна чисельність працівників Компанії складає 12 осіб(на 30 вересня 2022 р. - 13 осіб).</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Акціонерами</w:t>
      </w:r>
      <w:r w:rsidR="000F4905" w:rsidRPr="000F4905">
        <w:rPr>
          <w:rFonts w:ascii="Times New Roman" w:hAnsi="Times New Roman" w:cs="Times New Roman"/>
          <w:sz w:val="24"/>
          <w:szCs w:val="24"/>
          <w:lang w:val="ru-RU"/>
        </w:rPr>
        <w:t xml:space="preserve"> </w:t>
      </w:r>
      <w:r w:rsidRPr="000F4905">
        <w:rPr>
          <w:rFonts w:ascii="Times New Roman" w:hAnsi="Times New Roman" w:cs="Times New Roman"/>
          <w:sz w:val="24"/>
          <w:szCs w:val="24"/>
        </w:rPr>
        <w:t>Компанії є фізичні особи, зареєстровані на території України. Власниками істотної участі ПрАТ «СГУ» є:</w:t>
      </w:r>
    </w:p>
    <w:p w:rsidR="00A123B9" w:rsidRPr="000F4905" w:rsidRDefault="00A123B9" w:rsidP="000F4905">
      <w:pPr>
        <w:widowControl w:val="0"/>
        <w:spacing w:after="0" w:line="240" w:lineRule="auto"/>
        <w:jc w:val="both"/>
        <w:rPr>
          <w:rFonts w:ascii="Times New Roman" w:hAnsi="Times New Roman" w:cs="Times New Roman"/>
          <w:sz w:val="24"/>
          <w:szCs w:val="24"/>
        </w:rPr>
      </w:pPr>
    </w:p>
    <w:tbl>
      <w:tblPr>
        <w:tblW w:w="9711" w:type="dxa"/>
        <w:tblInd w:w="108" w:type="dxa"/>
        <w:tblLook w:val="04A0"/>
      </w:tblPr>
      <w:tblGrid>
        <w:gridCol w:w="6379"/>
        <w:gridCol w:w="3332"/>
      </w:tblGrid>
      <w:tr w:rsidR="00A123B9" w:rsidRPr="000F4905" w:rsidTr="00A123B9">
        <w:tc>
          <w:tcPr>
            <w:tcW w:w="6379" w:type="dxa"/>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Акціонер</w:t>
            </w:r>
          </w:p>
        </w:tc>
        <w:tc>
          <w:tcPr>
            <w:tcW w:w="3332" w:type="dxa"/>
            <w:tcBorders>
              <w:bottom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Частка володіння,  %</w:t>
            </w:r>
          </w:p>
        </w:tc>
      </w:tr>
      <w:tr w:rsidR="00A123B9" w:rsidRPr="000F4905" w:rsidTr="00A123B9">
        <w:tc>
          <w:tcPr>
            <w:tcW w:w="6379" w:type="dxa"/>
            <w:tcBorders>
              <w:top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Яцько</w:t>
            </w:r>
            <w:r w:rsidR="000F4905">
              <w:rPr>
                <w:rFonts w:ascii="Times New Roman" w:hAnsi="Times New Roman" w:cs="Times New Roman"/>
                <w:sz w:val="24"/>
                <w:szCs w:val="24"/>
                <w:lang w:val="en-US"/>
              </w:rPr>
              <w:t xml:space="preserve"> </w:t>
            </w:r>
            <w:r w:rsidRPr="000F4905">
              <w:rPr>
                <w:rFonts w:ascii="Times New Roman" w:hAnsi="Times New Roman" w:cs="Times New Roman"/>
                <w:sz w:val="24"/>
                <w:szCs w:val="24"/>
              </w:rPr>
              <w:t>Вячеслав</w:t>
            </w:r>
            <w:r w:rsidR="000F4905">
              <w:rPr>
                <w:rFonts w:ascii="Times New Roman" w:hAnsi="Times New Roman" w:cs="Times New Roman"/>
                <w:sz w:val="24"/>
                <w:szCs w:val="24"/>
                <w:lang w:val="en-US"/>
              </w:rPr>
              <w:t xml:space="preserve"> </w:t>
            </w:r>
            <w:r w:rsidRPr="000F4905">
              <w:rPr>
                <w:rFonts w:ascii="Times New Roman" w:hAnsi="Times New Roman" w:cs="Times New Roman"/>
                <w:sz w:val="24"/>
                <w:szCs w:val="24"/>
              </w:rPr>
              <w:t>Васильович</w:t>
            </w:r>
          </w:p>
        </w:tc>
        <w:tc>
          <w:tcPr>
            <w:tcW w:w="3332"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45</w:t>
            </w:r>
          </w:p>
        </w:tc>
      </w:tr>
      <w:tr w:rsidR="00A123B9" w:rsidRPr="000F4905" w:rsidTr="00A123B9">
        <w:tc>
          <w:tcPr>
            <w:tcW w:w="6379"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Гаманков Володимир Іванович</w:t>
            </w:r>
          </w:p>
        </w:tc>
        <w:tc>
          <w:tcPr>
            <w:tcW w:w="3332"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r>
      <w:tr w:rsidR="00A123B9" w:rsidRPr="000F4905" w:rsidTr="00A123B9">
        <w:tc>
          <w:tcPr>
            <w:tcW w:w="6379"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Гладуш Яніна Вікторівна</w:t>
            </w:r>
          </w:p>
        </w:tc>
        <w:tc>
          <w:tcPr>
            <w:tcW w:w="3332"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18</w:t>
            </w:r>
          </w:p>
        </w:tc>
      </w:tr>
      <w:tr w:rsidR="00A123B9" w:rsidRPr="000F4905" w:rsidTr="00A123B9">
        <w:tc>
          <w:tcPr>
            <w:tcW w:w="6379"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Гусєва Ірина Олександрівна</w:t>
            </w:r>
          </w:p>
        </w:tc>
        <w:tc>
          <w:tcPr>
            <w:tcW w:w="3332"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r>
      <w:tr w:rsidR="00A123B9" w:rsidRPr="000F4905" w:rsidTr="00A123B9">
        <w:tc>
          <w:tcPr>
            <w:tcW w:w="6379"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з часткою до 10%</w:t>
            </w:r>
          </w:p>
        </w:tc>
        <w:tc>
          <w:tcPr>
            <w:tcW w:w="3332"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w:t>
            </w:r>
          </w:p>
        </w:tc>
      </w:tr>
      <w:tr w:rsidR="00A123B9" w:rsidRPr="000F4905" w:rsidTr="00A123B9">
        <w:tc>
          <w:tcPr>
            <w:tcW w:w="6379" w:type="dxa"/>
            <w:tcBorders>
              <w:top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Всього</w:t>
            </w:r>
          </w:p>
        </w:tc>
        <w:tc>
          <w:tcPr>
            <w:tcW w:w="3332"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100</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Кінцевим бенефіціарним власником є Яцько В.В.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Фінансова звітність Компанії за період, що закінчився 30.09.2023 р., була затверджена керівництвом 18</w:t>
      </w:r>
      <w:r w:rsidR="000F4905"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жовтня 2023 року.</w:t>
      </w:r>
    </w:p>
    <w:p w:rsidR="00A123B9" w:rsidRPr="000F4905" w:rsidRDefault="00A123B9" w:rsidP="000F4905">
      <w:pPr>
        <w:pStyle w:val="ac"/>
        <w:widowControl w:val="0"/>
        <w:ind w:left="0"/>
        <w:contextualSpacing w:val="0"/>
        <w:rPr>
          <w:b/>
        </w:rPr>
      </w:pPr>
      <w:r w:rsidRPr="000F4905">
        <w:rPr>
          <w:b/>
        </w:rPr>
        <w:t>(б) Стан корпоративного управління</w:t>
      </w:r>
    </w:p>
    <w:p w:rsidR="00A123B9" w:rsidRPr="000F4905" w:rsidRDefault="00A123B9" w:rsidP="000F4905">
      <w:pPr>
        <w:pStyle w:val="Default"/>
        <w:widowControl w:val="0"/>
        <w:jc w:val="both"/>
        <w:rPr>
          <w:rFonts w:ascii="Times New Roman" w:hAnsi="Times New Roman" w:cs="Times New Roman"/>
          <w:color w:val="auto"/>
          <w:lang w:val="uk-UA"/>
        </w:rPr>
      </w:pPr>
      <w:r w:rsidRPr="000F4905">
        <w:rPr>
          <w:rFonts w:ascii="Times New Roman" w:hAnsi="Times New Roman" w:cs="Times New Roman"/>
          <w:color w:val="auto"/>
          <w:lang w:val="uk-UA"/>
        </w:rPr>
        <w:t xml:space="preserve">Відповідно до Статуту Компанія має такі керівні органи: </w:t>
      </w:r>
    </w:p>
    <w:p w:rsidR="00A123B9" w:rsidRPr="000F4905" w:rsidRDefault="00A123B9" w:rsidP="000F4905">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0F4905">
        <w:rPr>
          <w:rFonts w:ascii="Times New Roman" w:hAnsi="Times New Roman" w:cs="Times New Roman"/>
          <w:color w:val="auto"/>
          <w:lang w:val="uk-UA"/>
        </w:rPr>
        <w:t xml:space="preserve">Загальні збори акціонерів; </w:t>
      </w:r>
    </w:p>
    <w:p w:rsidR="00A123B9" w:rsidRPr="000F4905" w:rsidRDefault="00A123B9" w:rsidP="000F4905">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0F4905">
        <w:rPr>
          <w:rFonts w:ascii="Times New Roman" w:hAnsi="Times New Roman" w:cs="Times New Roman"/>
          <w:color w:val="auto"/>
          <w:lang w:val="uk-UA"/>
        </w:rPr>
        <w:t>Правління.</w:t>
      </w:r>
    </w:p>
    <w:p w:rsidR="00A123B9" w:rsidRPr="000F4905" w:rsidRDefault="00A123B9" w:rsidP="000F4905">
      <w:pPr>
        <w:pStyle w:val="Default"/>
        <w:widowControl w:val="0"/>
        <w:tabs>
          <w:tab w:val="left" w:pos="284"/>
        </w:tabs>
        <w:jc w:val="both"/>
        <w:rPr>
          <w:rFonts w:ascii="Times New Roman" w:hAnsi="Times New Roman" w:cs="Times New Roman"/>
          <w:color w:val="auto"/>
          <w:lang w:val="uk-UA"/>
        </w:rPr>
      </w:pPr>
      <w:r w:rsidRPr="000F4905">
        <w:rPr>
          <w:rFonts w:ascii="Times New Roman" w:hAnsi="Times New Roman" w:cs="Times New Roman"/>
          <w:color w:val="auto"/>
          <w:lang w:val="uk-UA"/>
        </w:rPr>
        <w:t xml:space="preserve">Для проведення перевірки фінансово-господарської діяльності Компанії Загальні збори  обирають ревізійну комісію (ревізора). </w:t>
      </w:r>
    </w:p>
    <w:p w:rsidR="00A123B9" w:rsidRPr="000F4905" w:rsidRDefault="00A123B9" w:rsidP="000F4905">
      <w:pPr>
        <w:pStyle w:val="Default"/>
        <w:widowControl w:val="0"/>
        <w:jc w:val="both"/>
        <w:rPr>
          <w:rFonts w:ascii="Times New Roman" w:hAnsi="Times New Roman" w:cs="Times New Roman"/>
          <w:color w:val="auto"/>
          <w:lang w:val="uk-UA"/>
        </w:rPr>
      </w:pPr>
      <w:r w:rsidRPr="000F4905">
        <w:rPr>
          <w:rFonts w:ascii="Times New Roman" w:hAnsi="Times New Roman" w:cs="Times New Roman"/>
          <w:color w:val="auto"/>
          <w:lang w:val="uk-UA"/>
        </w:rPr>
        <w:t xml:space="preserve">Вищим органом Компанії є Загальні збори акціонерів, які скликаються не рідше одного разу на </w:t>
      </w:r>
      <w:r w:rsidRPr="000F4905">
        <w:rPr>
          <w:rFonts w:ascii="Times New Roman" w:hAnsi="Times New Roman" w:cs="Times New Roman"/>
          <w:color w:val="auto"/>
          <w:lang w:val="uk-UA"/>
        </w:rPr>
        <w:lastRenderedPageBreak/>
        <w:t xml:space="preserve">рік. </w:t>
      </w:r>
    </w:p>
    <w:p w:rsidR="00A123B9" w:rsidRPr="000F4905" w:rsidRDefault="00A123B9" w:rsidP="000F4905">
      <w:pPr>
        <w:pStyle w:val="Default"/>
        <w:widowControl w:val="0"/>
        <w:jc w:val="both"/>
        <w:rPr>
          <w:rFonts w:ascii="Times New Roman" w:hAnsi="Times New Roman" w:cs="Times New Roman"/>
          <w:color w:val="auto"/>
          <w:lang w:val="uk-UA"/>
        </w:rPr>
      </w:pPr>
      <w:r w:rsidRPr="000F4905">
        <w:rPr>
          <w:rFonts w:ascii="Times New Roman" w:hAnsi="Times New Roman" w:cs="Times New Roman"/>
          <w:color w:val="auto"/>
          <w:lang w:val="uk-UA"/>
        </w:rPr>
        <w:t xml:space="preserve">Правління здійснює поточну діяльність Компанії у межах компетенції та прав, визначених установчими документами Компанії.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Впровадження функції внутрішнього аудиту вимагається законодавством України. З метою контролю та корпоративного управління, для забезпечення надійності та ефективності системи внутрішнього контролю в Компанії створено службу внутрішнього аудиту, а саме посада внутрішнього аудитора. Внутрішній аудитор підпорядковується і є підзвітним Правлінню та діє на підставі Положення про службу внутрішнього аудиту. Положення про службу внутрішнього аудиту Приватного акціонерного товариства «Страхові гарантії України» затверджено рішенням правління Приватного акціонерного товариства «Страхові гарантії України» від 29листопада 2022 року, протокол № 8/22.</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За результатами перевірок поточної фінансової діяльності службою внутрішнього аудиту порушень у дотриманні законів, нормативно-правових актів України та рішень органів управління Компанії не було.</w:t>
      </w:r>
    </w:p>
    <w:p w:rsidR="00A123B9" w:rsidRPr="000F4905" w:rsidRDefault="00A123B9" w:rsidP="000F4905">
      <w:pPr>
        <w:pStyle w:val="ac"/>
        <w:widowControl w:val="0"/>
        <w:ind w:left="0"/>
        <w:contextualSpacing w:val="0"/>
        <w:rPr>
          <w:b/>
        </w:rPr>
      </w:pPr>
      <w:r w:rsidRPr="000F4905">
        <w:rPr>
          <w:b/>
        </w:rPr>
        <w:t xml:space="preserve">(в) Умови здійснення господарської діяльності Компанії </w:t>
      </w:r>
    </w:p>
    <w:p w:rsidR="00A123B9" w:rsidRPr="000F4905" w:rsidRDefault="00A123B9" w:rsidP="000F4905">
      <w:pPr>
        <w:pStyle w:val="af7"/>
        <w:widowControl w:val="0"/>
        <w:spacing w:after="0"/>
        <w:jc w:val="both"/>
        <w:rPr>
          <w:rFonts w:eastAsia="Arial"/>
          <w:sz w:val="24"/>
          <w:szCs w:val="24"/>
          <w:highlight w:val="yellow"/>
          <w:lang w:eastAsia="uk-UA" w:bidi="uk-UA"/>
        </w:rPr>
      </w:pPr>
      <w:r w:rsidRPr="000F4905">
        <w:rPr>
          <w:rFonts w:eastAsia="Arial"/>
          <w:sz w:val="24"/>
          <w:szCs w:val="24"/>
          <w:lang w:eastAsia="uk-UA" w:bidi="uk-UA"/>
        </w:rPr>
        <w:t>Компанія здійснює свою діяльність в Україні.</w:t>
      </w:r>
    </w:p>
    <w:p w:rsidR="00A123B9" w:rsidRPr="000F4905" w:rsidRDefault="00A123B9" w:rsidP="000F4905">
      <w:pPr>
        <w:pStyle w:val="af7"/>
        <w:widowControl w:val="0"/>
        <w:spacing w:after="0"/>
        <w:jc w:val="both"/>
        <w:rPr>
          <w:rFonts w:eastAsia="Arial"/>
          <w:sz w:val="24"/>
          <w:szCs w:val="24"/>
          <w:lang w:eastAsia="uk-UA" w:bidi="uk-UA"/>
        </w:rPr>
      </w:pPr>
      <w:r w:rsidRPr="000F4905">
        <w:rPr>
          <w:rFonts w:eastAsia="Arial"/>
          <w:sz w:val="24"/>
          <w:szCs w:val="24"/>
          <w:lang w:eastAsia="uk-UA" w:bidi="uk-UA"/>
        </w:rPr>
        <w:t xml:space="preserve">З 2014 року в Україні триває збройний конфлікт за участю російської федерації. Російська федерація анексувала Крим та за допомогою зброї контролювала значну частину Луганської та Донецької областей. </w:t>
      </w:r>
    </w:p>
    <w:p w:rsidR="00A123B9" w:rsidRPr="000F4905" w:rsidRDefault="00A123B9" w:rsidP="000F4905">
      <w:pPr>
        <w:pStyle w:val="af7"/>
        <w:widowControl w:val="0"/>
        <w:spacing w:after="0"/>
        <w:jc w:val="both"/>
        <w:rPr>
          <w:rFonts w:eastAsia="Arial"/>
          <w:sz w:val="24"/>
          <w:szCs w:val="24"/>
          <w:lang w:bidi="uk-UA"/>
        </w:rPr>
      </w:pPr>
      <w:r w:rsidRPr="000F4905">
        <w:rPr>
          <w:rFonts w:eastAsia="Arial"/>
          <w:sz w:val="24"/>
          <w:szCs w:val="24"/>
          <w:lang w:bidi="uk-UA"/>
        </w:rPr>
        <w:t xml:space="preserve">21 лютого 2022 року російська федерація висловила тезу про незалежність так званих Донецької та Луганської народних республік та об’явила про введення військ на підконтрольну їм територію. 24 лютого війська російської федерації вторглися в Україну з кількох напрямків, провівши попередньо ракетні удари по території України. Керівництво України ввело воєнний стан та оголосило мобілізацію. </w:t>
      </w:r>
    </w:p>
    <w:p w:rsidR="00A123B9" w:rsidRPr="000F4905" w:rsidRDefault="00A123B9" w:rsidP="000F4905">
      <w:pPr>
        <w:pStyle w:val="af7"/>
        <w:widowControl w:val="0"/>
        <w:spacing w:after="0"/>
        <w:jc w:val="both"/>
        <w:rPr>
          <w:rFonts w:eastAsia="Arial"/>
          <w:sz w:val="24"/>
          <w:szCs w:val="24"/>
          <w:lang w:bidi="uk-UA"/>
        </w:rPr>
      </w:pPr>
      <w:r w:rsidRPr="000F4905">
        <w:rPr>
          <w:rFonts w:eastAsia="Arial"/>
          <w:sz w:val="24"/>
          <w:szCs w:val="24"/>
          <w:lang w:bidi="uk-UA"/>
        </w:rPr>
        <w:t>Війна, яка триває більше року, призвела до загибелі як військових, так і мирного населення України та створила масштабну економічну та гуманітарну кризу. Зруйновано об’єкти військової та цивільної інфраструктури, значна частина території України на сході та півдні залишається тимчасово окупованою і на лінії зіткнення продовжується активна фаза бойових дій. Не зупиняються ракетно-бомбові удари по інфраструктурним об’єктам та населенню по всій території України.</w:t>
      </w:r>
    </w:p>
    <w:p w:rsidR="00A123B9" w:rsidRPr="000F4905" w:rsidRDefault="00A123B9" w:rsidP="000F4905">
      <w:pPr>
        <w:pStyle w:val="af7"/>
        <w:widowControl w:val="0"/>
        <w:spacing w:after="0"/>
        <w:jc w:val="both"/>
        <w:rPr>
          <w:color w:val="000000"/>
          <w:sz w:val="24"/>
          <w:szCs w:val="24"/>
          <w:shd w:val="clear" w:color="auto" w:fill="FFFFFF"/>
        </w:rPr>
      </w:pPr>
      <w:r w:rsidRPr="000F4905">
        <w:rPr>
          <w:sz w:val="24"/>
          <w:szCs w:val="24"/>
        </w:rPr>
        <w:t xml:space="preserve">Тривалі бойові дії потребують значного фінансування, що призвело до рекордного дефіциту бюджету. Наявних внутрішніх ресурсів недостатньо для фінансування всіх бюджетних потреб. Тож міжнародна допомога залишається критичною для України. Виконання Україною зобов’язань перед міжнародними партнерами – запорука подальшого планомірного надходження коштів. Надходження коштів від міжнародних партнерів підтримують платіжний баланс та дали змогу досягти найвищого за понад десятиліття обсягу золотовалютних резервів НБУ. Це створює додатковий запас міцності для підтримки валютного ринку, ситуація на якому значно поліпшилася останніми місяцями. </w:t>
      </w:r>
      <w:r w:rsidRPr="000F4905">
        <w:rPr>
          <w:color w:val="000000"/>
          <w:sz w:val="24"/>
          <w:szCs w:val="24"/>
          <w:shd w:val="clear" w:color="auto" w:fill="FFFFFF"/>
        </w:rPr>
        <w:t>При цьому , міжнародні резерви України, які за попередніми даними станом на 1 жовтня 2023 року становили 39,7 млрд доларів США, залишаються достатніми для фінансування 5,3 місяця майбутнього імпорту. У вересні вони знизилися на 1,7% за рахунок інтервенцій НБУ з продажу валюти для покриття різниці між попитом та пропозицією на валютному ринку України та здійснення боргових виплат держави, які не повною мірою були компенсовані надходженнями від міжнародних партнерів.</w:t>
      </w:r>
    </w:p>
    <w:p w:rsidR="00A123B9" w:rsidRPr="000F4905" w:rsidRDefault="00A123B9" w:rsidP="000F4905">
      <w:pPr>
        <w:pStyle w:val="af7"/>
        <w:widowControl w:val="0"/>
        <w:spacing w:after="0"/>
        <w:jc w:val="both"/>
        <w:rPr>
          <w:sz w:val="24"/>
          <w:szCs w:val="24"/>
        </w:rPr>
      </w:pPr>
      <w:r w:rsidRPr="000F4905">
        <w:rPr>
          <w:color w:val="333333"/>
          <w:sz w:val="24"/>
          <w:szCs w:val="24"/>
          <w:shd w:val="clear" w:color="auto" w:fill="FFFFFF"/>
          <w:lang w:eastAsia="uk-UA"/>
        </w:rPr>
        <w:t>Триває пом’якшення обмежень операцій на валютному ринку. Регулятор надалі реалізовує оприлюднену Стратегію пом’якшення валютних обмежень, переходу до більшої гнучкості обмінного курсу та повернення до інфляційного таргетування. Відповідно до неї дії НБУ в межах першого етапу пом’якшення валютних обмежень спрямовуватимуться, зокрема, на мінімізацію множинності обмінних курсів. З цією метою регулятор пом’якшує валютні обмеження в частині продажу безготівкової іноземної валюти громадянам. </w:t>
      </w:r>
    </w:p>
    <w:p w:rsidR="00A123B9" w:rsidRPr="000F4905" w:rsidRDefault="00A123B9" w:rsidP="000F4905">
      <w:pPr>
        <w:pStyle w:val="af6"/>
        <w:widowControl w:val="0"/>
        <w:shd w:val="clear" w:color="auto" w:fill="FFFFFF"/>
        <w:spacing w:before="0" w:beforeAutospacing="0" w:after="0" w:afterAutospacing="0"/>
        <w:jc w:val="both"/>
        <w:textAlignment w:val="baseline"/>
        <w:rPr>
          <w:color w:val="000000"/>
          <w:lang w:val="uk-UA"/>
        </w:rPr>
      </w:pPr>
      <w:r w:rsidRPr="000F4905">
        <w:rPr>
          <w:color w:val="000000"/>
          <w:lang w:val="uk-UA"/>
        </w:rPr>
        <w:t xml:space="preserve">Світовий банк покращив свій прогноз щодо зростання української економіки. Згідно з оновленим прогнозом зростання реального ВВП України у 2023 р. та 2024 р. очікується на рівні 3.5% та 4% </w:t>
      </w:r>
      <w:r w:rsidRPr="000F4905">
        <w:rPr>
          <w:color w:val="000000"/>
          <w:lang w:val="uk-UA"/>
        </w:rPr>
        <w:lastRenderedPageBreak/>
        <w:t>відповідно, що на 1.5 та 0.5 в.п. вище оцінок середини 2023 р. Згідно з оцінками Світового банку основними ризиками для України залишаються безпека, руйнування інфраструктури та логістики, зростання цін на енергоносії. Водночас підтриманню відновлення сприяють стабільніше електропостачання, збільшення державних витрат, велика зовнішня допомога та вищий, ніж очікувалося, урожай. Основним припущенням прогнозу залишається тривалість активної фази бойових дій. Згідно з базовим сценарієм суттєве зменшення безпекових ризиків передбачається з ІІ половини 2024 р. Як наслідок економічне зростання за підсумками 2025 р. очікується на рівні 6.5%.</w:t>
      </w:r>
    </w:p>
    <w:p w:rsidR="00A123B9" w:rsidRPr="000F4905" w:rsidRDefault="00A123B9" w:rsidP="000F4905">
      <w:pPr>
        <w:pStyle w:val="af6"/>
        <w:widowControl w:val="0"/>
        <w:shd w:val="clear" w:color="auto" w:fill="FFFFFF"/>
        <w:spacing w:before="0" w:beforeAutospacing="0" w:after="0" w:afterAutospacing="0"/>
        <w:jc w:val="both"/>
        <w:textAlignment w:val="baseline"/>
        <w:rPr>
          <w:color w:val="000000"/>
          <w:lang w:val="uk-UA"/>
        </w:rPr>
      </w:pPr>
      <w:r w:rsidRPr="000F4905">
        <w:rPr>
          <w:color w:val="000000"/>
          <w:lang w:val="uk-UA"/>
        </w:rPr>
        <w:t>Успішні атаки на місця базування чорноморського флоту рф у тимчасово окупованому Криму дозволяють Україні поступово налагоджувати експорт зернових через тимчасові коридори для торгівельних суден. Станом на початок жовтня таким коридором скористалося вже понад 20 суден. Це знижує потенційні ризики для експорту нового врожаю, що через сприятливі погодні умови виявиться вищим ніж прогнозувалося раніше.</w:t>
      </w:r>
    </w:p>
    <w:p w:rsidR="00A123B9" w:rsidRPr="000F4905" w:rsidRDefault="00A123B9" w:rsidP="000F4905">
      <w:pPr>
        <w:widowControl w:val="0"/>
        <w:shd w:val="clear" w:color="auto" w:fill="FFFFFF"/>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bdr w:val="none" w:sz="0" w:space="0" w:color="auto" w:frame="1"/>
        </w:rPr>
        <w:t>Експорт відновлюватиметься активніше після налагодження морської логістики та припинення обстрілів інфраструктури. Поступове повернення мігрантів сприятиме пожвавленню споживчого попиту, а інвестиції суттєво зростуть на етапі відбудови країни.</w:t>
      </w:r>
    </w:p>
    <w:p w:rsidR="00A123B9" w:rsidRPr="000F4905" w:rsidRDefault="00A123B9" w:rsidP="000F4905">
      <w:pPr>
        <w:widowControl w:val="0"/>
        <w:shd w:val="clear" w:color="auto" w:fill="FFFFFF"/>
        <w:spacing w:after="0" w:line="240" w:lineRule="auto"/>
        <w:jc w:val="both"/>
        <w:rPr>
          <w:rFonts w:ascii="Times New Roman" w:hAnsi="Times New Roman" w:cs="Times New Roman"/>
          <w:sz w:val="24"/>
          <w:szCs w:val="24"/>
          <w:bdr w:val="none" w:sz="0" w:space="0" w:color="auto" w:frame="1"/>
        </w:rPr>
      </w:pPr>
      <w:r w:rsidRPr="000F4905">
        <w:rPr>
          <w:rFonts w:ascii="Times New Roman" w:hAnsi="Times New Roman" w:cs="Times New Roman"/>
          <w:sz w:val="24"/>
          <w:szCs w:val="24"/>
          <w:bdr w:val="none" w:sz="0" w:space="0" w:color="auto" w:frame="1"/>
        </w:rPr>
        <w:t>Вагому роль у стимулюванні економіки і надалі відіграватиме м’яка фіскальна політика — дефіцит бюджету залишатиметься значним через потреби в підтримці обороноздатності та економічного відновлення.</w:t>
      </w:r>
    </w:p>
    <w:p w:rsidR="00A123B9" w:rsidRPr="000F4905" w:rsidRDefault="00A123B9" w:rsidP="000F4905">
      <w:pPr>
        <w:widowControl w:val="0"/>
        <w:shd w:val="clear" w:color="auto" w:fill="FFFFFF"/>
        <w:spacing w:after="0" w:line="240" w:lineRule="auto"/>
        <w:rPr>
          <w:rFonts w:ascii="Times New Roman" w:hAnsi="Times New Roman" w:cs="Times New Roman"/>
          <w:sz w:val="24"/>
          <w:szCs w:val="24"/>
        </w:rPr>
      </w:pPr>
      <w:r w:rsidRPr="000F4905">
        <w:rPr>
          <w:rFonts w:ascii="Times New Roman" w:hAnsi="Times New Roman" w:cs="Times New Roman"/>
          <w:color w:val="333333"/>
          <w:sz w:val="24"/>
          <w:szCs w:val="24"/>
          <w:shd w:val="clear" w:color="auto" w:fill="FFFFFF"/>
        </w:rPr>
        <w:t>Правління НБУ ухвалило рішення знизити облікову ставку з 22 до 20 % з 15 вересня 2023 р.</w:t>
      </w:r>
    </w:p>
    <w:p w:rsidR="00A123B9" w:rsidRPr="000F4905" w:rsidRDefault="00A123B9" w:rsidP="000F4905">
      <w:pPr>
        <w:pStyle w:val="af7"/>
        <w:widowControl w:val="0"/>
        <w:spacing w:after="0"/>
        <w:jc w:val="both"/>
        <w:rPr>
          <w:rFonts w:eastAsia="Arial"/>
          <w:sz w:val="24"/>
          <w:szCs w:val="24"/>
          <w:lang w:bidi="uk-UA"/>
        </w:rPr>
      </w:pPr>
      <w:r w:rsidRPr="000F4905">
        <w:rPr>
          <w:rFonts w:eastAsia="Arial"/>
          <w:sz w:val="24"/>
          <w:szCs w:val="24"/>
          <w:lang w:bidi="uk-UA"/>
        </w:rPr>
        <w:t xml:space="preserve">Керівництво Компанії стежить за станом розвитку поточної ситуації та вживає заходів для мінімізації будь-яких негативних наслідків, наскільки це можливо. </w:t>
      </w:r>
    </w:p>
    <w:p w:rsidR="00A123B9" w:rsidRPr="000F4905" w:rsidRDefault="00A123B9" w:rsidP="000F4905">
      <w:pPr>
        <w:pStyle w:val="af7"/>
        <w:widowControl w:val="0"/>
        <w:spacing w:after="0"/>
        <w:jc w:val="both"/>
        <w:rPr>
          <w:rFonts w:eastAsia="Arial"/>
          <w:sz w:val="24"/>
          <w:szCs w:val="24"/>
          <w:lang w:bidi="uk-UA"/>
        </w:rPr>
      </w:pPr>
      <w:r w:rsidRPr="000F4905">
        <w:rPr>
          <w:rFonts w:eastAsia="Arial"/>
          <w:sz w:val="24"/>
          <w:szCs w:val="24"/>
          <w:lang w:bidi="uk-UA"/>
        </w:rPr>
        <w:t>Хоча управлінський персонал вважає, що він вживає належні заходи на підтримку стабільної діяльності Компанії,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Компанії,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Компанії. Майбутні умови здійснення діяльності можуть відрізнятися від оцінки управлінського персоналу.</w:t>
      </w:r>
    </w:p>
    <w:p w:rsidR="00A123B9" w:rsidRPr="000F4905" w:rsidRDefault="00A123B9" w:rsidP="000F4905">
      <w:pPr>
        <w:pStyle w:val="ac"/>
        <w:widowControl w:val="0"/>
        <w:ind w:left="0"/>
        <w:contextualSpacing w:val="0"/>
        <w:jc w:val="both"/>
        <w:rPr>
          <w:b/>
        </w:rPr>
      </w:pPr>
      <w:r w:rsidRPr="000F4905">
        <w:rPr>
          <w:b/>
        </w:rPr>
        <w:t xml:space="preserve">2. </w:t>
      </w:r>
      <w:r w:rsidRPr="000F4905">
        <w:rPr>
          <w:rStyle w:val="rvts11"/>
          <w:b/>
        </w:rPr>
        <w:t xml:space="preserve">Концептуальна основа фінансової звітності </w:t>
      </w: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(а) Підтвердження відповідності</w:t>
      </w:r>
    </w:p>
    <w:p w:rsidR="00A123B9" w:rsidRPr="000F4905" w:rsidRDefault="00A123B9" w:rsidP="000F4905">
      <w:pPr>
        <w:pStyle w:val="af7"/>
        <w:widowControl w:val="0"/>
        <w:spacing w:after="0"/>
        <w:jc w:val="both"/>
        <w:rPr>
          <w:sz w:val="24"/>
          <w:szCs w:val="24"/>
        </w:rPr>
      </w:pPr>
      <w:r w:rsidRPr="000F4905">
        <w:rPr>
          <w:sz w:val="24"/>
          <w:szCs w:val="24"/>
        </w:rPr>
        <w:t>Фінансова звітність була складена відповідно до Міжнародних стандартів фінансової звітності (МСФЗ), виданими Радою з міжнародних стандартів бухгалтерського обліку (РМСБО).</w:t>
      </w: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(б) Основа для облікових оцінок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Фінансова звітність була підготовлена на основі історичної вартості, за винятком фінансових інструментів, оцінюваних за справедливою або амортизованою вартістю, зміни якої відображаються в складі прибутку чи збитку за період,  та оцінки нерухомості та транспорту, що відображається по переоціненій вартості.</w:t>
      </w:r>
    </w:p>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 xml:space="preserve">(в) Безперервність діяльності </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rPr>
        <w:t xml:space="preserve">Ця фінансова звітність підготовлена на основі принципу безперервності діяльності. </w:t>
      </w:r>
      <w:r w:rsidRPr="000F4905">
        <w:rPr>
          <w:rFonts w:ascii="Times New Roman" w:hAnsi="Times New Roman" w:cs="Times New Roman"/>
          <w:sz w:val="24"/>
          <w:szCs w:val="24"/>
          <w:lang w:eastAsia="en-US"/>
        </w:rPr>
        <w:t>При підготовці фінансової звітності за дев’ять місяців</w:t>
      </w:r>
      <w:r w:rsidR="00A36A1A" w:rsidRPr="00A36A1A">
        <w:rPr>
          <w:rFonts w:ascii="Times New Roman" w:hAnsi="Times New Roman" w:cs="Times New Roman"/>
          <w:sz w:val="24"/>
          <w:szCs w:val="24"/>
          <w:lang w:eastAsia="en-US"/>
        </w:rPr>
        <w:t xml:space="preserve"> </w:t>
      </w:r>
      <w:r w:rsidRPr="000F4905">
        <w:rPr>
          <w:rFonts w:ascii="Times New Roman" w:hAnsi="Times New Roman" w:cs="Times New Roman"/>
          <w:sz w:val="24"/>
          <w:szCs w:val="24"/>
          <w:lang w:eastAsia="en-US"/>
        </w:rPr>
        <w:t>2023 року керівництвом Компанії було оцінено здатність Компанії продовжувати свою діяльність в майбутньому з врахуванням військових дій на території України, що тривають та вже спричинили та продовжують спричинювати значні негативні наслідки, як для економіки України в цілому, так і для Компанії.</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ru-RU"/>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На дату затвердження цієї фінансової звітності Компанія оцінила, що суттєва невизначеність все ще залишається, оскільки деякі з невизначеностей знаходяться поза контролем керівництва </w:t>
      </w:r>
      <w:r w:rsidRPr="000F4905">
        <w:rPr>
          <w:rFonts w:ascii="Times New Roman" w:hAnsi="Times New Roman" w:cs="Times New Roman"/>
          <w:sz w:val="24"/>
          <w:szCs w:val="24"/>
          <w:lang w:eastAsia="ru-RU"/>
        </w:rPr>
        <w:lastRenderedPageBreak/>
        <w:t xml:space="preserve">Компанії, а тривалість і вплив війни на даний момент неможливо передбачити.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Вплив агресивних дій російської федерації на економіку України  багатогранний. Якісь із можливих наслідків будуть подолані порівняно швидко, для вирішення інших можуть знадобитися роки та сотні мільярдів доларів інвестицій. Наразі очевидним є одне – наслідки війни російської федерації проти України відчуватимуться практично в усьому світі.</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Всі ці події вплинули як на діяльність страхового ринку в цілому, так і на діяльність Компанії. </w:t>
      </w:r>
    </w:p>
    <w:p w:rsidR="00A123B9" w:rsidRPr="000F4905" w:rsidRDefault="00A123B9" w:rsidP="000F4905">
      <w:pPr>
        <w:widowControl w:val="0"/>
        <w:spacing w:after="0" w:line="240" w:lineRule="auto"/>
        <w:jc w:val="both"/>
        <w:rPr>
          <w:rFonts w:ascii="Times New Roman" w:eastAsiaTheme="minorHAnsi" w:hAnsi="Times New Roman" w:cs="Times New Roman"/>
          <w:sz w:val="24"/>
          <w:szCs w:val="24"/>
          <w:lang w:eastAsia="en-US"/>
        </w:rPr>
      </w:pPr>
    </w:p>
    <w:p w:rsidR="00A123B9" w:rsidRPr="000F4905" w:rsidRDefault="00A123B9" w:rsidP="000F4905">
      <w:pPr>
        <w:widowControl w:val="0"/>
        <w:spacing w:after="0" w:line="240" w:lineRule="auto"/>
        <w:jc w:val="both"/>
        <w:rPr>
          <w:rFonts w:ascii="Times New Roman" w:eastAsiaTheme="minorHAnsi" w:hAnsi="Times New Roman" w:cs="Times New Roman"/>
          <w:sz w:val="24"/>
          <w:szCs w:val="24"/>
          <w:lang w:eastAsia="en-US"/>
        </w:rPr>
      </w:pPr>
      <w:r w:rsidRPr="000F4905">
        <w:rPr>
          <w:rFonts w:ascii="Times New Roman" w:eastAsiaTheme="minorHAnsi" w:hAnsi="Times New Roman" w:cs="Times New Roman"/>
          <w:sz w:val="24"/>
          <w:szCs w:val="24"/>
          <w:lang w:eastAsia="en-US"/>
        </w:rPr>
        <w:t>Компанія,яка є невеликим страховиком, що має спеціалізацію на страхуванні вантажів та авіаційному страхуванні, зазнало скорочення бізнесу. Це пояснюється фактичним припиненням діяльності основних клієнтів Компанії</w:t>
      </w:r>
      <w:r w:rsidR="000F4905" w:rsidRPr="000F4905">
        <w:rPr>
          <w:rFonts w:ascii="Times New Roman" w:eastAsiaTheme="minorHAnsi" w:hAnsi="Times New Roman" w:cs="Times New Roman"/>
          <w:sz w:val="24"/>
          <w:szCs w:val="24"/>
          <w:lang w:val="ru-RU" w:eastAsia="en-US"/>
        </w:rPr>
        <w:t xml:space="preserve"> </w:t>
      </w:r>
      <w:r w:rsidRPr="000F4905">
        <w:rPr>
          <w:rFonts w:ascii="Times New Roman" w:eastAsiaTheme="minorHAnsi" w:hAnsi="Times New Roman" w:cs="Times New Roman"/>
          <w:sz w:val="24"/>
          <w:szCs w:val="24"/>
          <w:lang w:eastAsia="en-US"/>
        </w:rPr>
        <w:t>щодо продажу на зовнішні ринки продукції військового та подвійного призначення. Зі зрозумілих причин попит на цей вид страхових послуг був майже відсутній протягом звітного періоду.</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При цьому, керівництво Компанії вважає, що існують достатні підстави для підготовки цієї фінансової звітності на основі принципу безперервності діяльності. </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Разом з тим, існує суттєва невизначеність, пов’язана з непередбачуваним наразі впливом військових дій на території України, що тривають, на припущення, що лежать в основі оцінок керівництва, що може поставити під сумнів здатність Компанії продовжувати свою діяльність на безперервній основі, і, отже, Компанія не зможе реалізувати свої активи та погасити зобов’язання за звичайного перебігу господарської діяльності. Це призведе до необхідності коригування сум у звіті про фінансовий стан у майбутньому, щоб відобразити ці обставини, які можуть суттєво змінити оцінку та класифікацію певних показників, що містяться у фінансовій звітності.</w:t>
      </w: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iCs/>
          <w:sz w:val="24"/>
          <w:szCs w:val="24"/>
        </w:rPr>
        <w:t>(</w:t>
      </w:r>
      <w:r w:rsidRPr="000F4905">
        <w:rPr>
          <w:rFonts w:ascii="Times New Roman" w:hAnsi="Times New Roman" w:cs="Times New Roman"/>
          <w:b/>
          <w:sz w:val="24"/>
          <w:szCs w:val="24"/>
        </w:rPr>
        <w:t>г) Функціональна валюта та валюта подання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Фінансова звітність подана в національній валюті України – гривні. Всі суми у фінансових звітах та примітках наведені в тисячах гривень, якщо не зазначено інше. </w:t>
      </w: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(д) Використання оцінок і суджень</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Складання фінансової звітності згідно МСФЗ вимагає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Фактичні результати можуть відрізнятися від цих оцінок.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Всі оцінки та припущення, які вимагаються згідно з МСФЗ, являють собою найбільш оптимальні оцінки, здійснені згідно з застосовними стандартами. Оцінки та судження визначаються постійно, ґрунтуються на минулому досвіді та інших чинниках, включаючи очікування стосовно майбутніх подій, і вважаються доцільними в умовах, що склалися. Зміни бухгалтерських оцінок визнаються в тому періоді, в якому вони відбуваються, а також в інших майбутніх періодах, якщо зміна стосується майбутніх періодів.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Нижче наведені основні припущення стосовно майбутнього та інші основні джерела невизначеності оцінок на кінець звітного періоду, щодо яких існує значний ризик, що вони стануть причиною суттєвих коригувань балансової вартості активів та зобов’язань протягом наступного фінансового року:</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а) Страхові резерви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При розрахунку страхових технічних резервів та тестуванні їх на предмет адекватності Компанія використовує відповідні актуарні припущення які базуються на ретроспективному досвіді Компанії відносно страхових випадків, а також суб’єктивних оцінок спеціалістів щодо рівня збитку від кожного страхового випадку, що наступив, які передбачають можливість зміни фінальних розрахункових показників. Керівництво Компанії у своїх оцінках виходить з найбільш вірогідних варіантів розвитку подій.</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б) Справедлива вартість фінансових інструментів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Справедлива вартість фінансових інструментів, у разі якщо не існує активного ринку або якщо котирування не доступні, визначається з використанням методів оцінки.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вважає, що облікова оцінка, пов'язана з оцінкою фінансових інструментів, для яких відсутні котирування ринкових цін, є основним джерелом невизначеності оцінок у зв'язку з тим, </w:t>
      </w:r>
      <w:r w:rsidRPr="000F4905">
        <w:rPr>
          <w:rFonts w:ascii="Times New Roman" w:hAnsi="Times New Roman" w:cs="Times New Roman"/>
          <w:sz w:val="24"/>
          <w:szCs w:val="24"/>
        </w:rPr>
        <w:lastRenderedPageBreak/>
        <w:t>що: (i) вона дуже схильна до змін від періоду до періоду, оскільки вона вимагає від керівництва приймати припущення щодо процентних ставок, волантильностi курсів обміну валют, кредитного рейтингу контрагента, оціночних коригувань i характеру конкретних операцій та (ii) вплив на оцінку активів відображених в звіті про фінансовий стан, а також на звіт про фінансові результати (сукупний дохід), може виявитися істотним.</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г) Зменшення корисності фінансових активів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оцінює зменшення корисності власних фінансових активів, зокрема депозитів в банках, грошей та їх еквівалентів, визначаючи ймовірність відшкодування їх вартості на основі детального аналізу банків. До уваги беруться фінансовий стан банку, кредитні рейтинги присвоєні банку, історія банку.</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Нестача ліквідних коштів у банківському секторі разом з фінансовими труднощами банків, призводить до суттєвої невизначеності оцінок щодо можливості їх відшкодування. </w:t>
      </w:r>
    </w:p>
    <w:p w:rsidR="00A123B9" w:rsidRPr="000F4905" w:rsidRDefault="00A123B9" w:rsidP="000F4905">
      <w:pPr>
        <w:pStyle w:val="Default"/>
        <w:widowControl w:val="0"/>
        <w:jc w:val="both"/>
        <w:rPr>
          <w:rFonts w:ascii="Times New Roman" w:hAnsi="Times New Roman" w:cs="Times New Roman"/>
          <w:color w:val="auto"/>
          <w:lang w:val="uk-UA"/>
        </w:rPr>
      </w:pPr>
      <w:r w:rsidRPr="000F4905">
        <w:rPr>
          <w:rFonts w:ascii="Times New Roman" w:hAnsi="Times New Roman" w:cs="Times New Roman"/>
          <w:color w:val="auto"/>
          <w:lang w:val="uk-UA"/>
        </w:rPr>
        <w:t>Станом на 30вересня2023 р. управлінський персонал Компанії вважає, що балансова вартість строкових депозитів, грошей та їх еквівалентів буде відшкодована, управлінський персонал не виявив ознак зменшення їх корисності. Відповідно, управлінським персоналом станом на 30вересня2023р. не було створено додаткових резервів на покриття збитків від зменшення корисності фінансових активів, крім тих, що зазначені у Примітці 5.5.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 разі, якщо банки не зможуть повернути Компанії гроші та їх еквіваленти та кошти по депозитах після 30вересня2023 р., необхідно буде відобразити в обліку додаткові збитки від зменшення корисності.</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Резерв на покриття збитків від знецінення дебіторської заборгованості</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аналізує дебіторську заборгованість на предмет знецінення,шляхом створення резерву сумнівної заборгованості, на регулярній основі. При визначенні того, чи необхідно відображати збиток від знецінення у звіті про прибуток або збиток та інший сукупний дохід,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д) Податок на прибуток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Результат діяльності Компанії є об'єктом податку на прибуток в Україні. Під час визначення суми зобов’язань з податку на прибуток та інших податків вимагається застосування істотних оцінок в силу складності українського податкового законодавства та неоднозначного його тлумачення податковими органами на регіональному та загальнодержавному рівнях. Існують різні операції, стосовно яких зберігається невизначеність щодо визначення остаточної суми зобов’язань. Компанія визнає зобов’язання стосовно оцінок щодо можливості нарахування додаткових податків. У випадках, коли остаточний податковий результат із цих питань відрізнятиметься від раніше відображених сум, такі різниці вплинуть на суму податку та податкових зобов’язань того періоду, в якому цей результат буде визначений. </w:t>
      </w:r>
    </w:p>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pStyle w:val="ac"/>
        <w:widowControl w:val="0"/>
        <w:ind w:left="0"/>
        <w:contextualSpacing w:val="0"/>
        <w:rPr>
          <w:b/>
        </w:rPr>
      </w:pPr>
      <w:r w:rsidRPr="000F4905">
        <w:rPr>
          <w:b/>
        </w:rPr>
        <w:t>3. Основні принципи облікової політики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Фінансові інструменти</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 xml:space="preserve">і) Визнання та класифікація фінансових інструментів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Фінансові активи та фінансові зобов’язання визнаються у звіті про фінансовий стан у той момент, коли </w:t>
      </w:r>
      <w:r w:rsidRPr="000F4905">
        <w:rPr>
          <w:rFonts w:ascii="Times New Roman" w:hAnsi="Times New Roman" w:cs="Times New Roman"/>
          <w:sz w:val="24"/>
          <w:szCs w:val="24"/>
        </w:rPr>
        <w:t xml:space="preserve">Компанія </w:t>
      </w:r>
      <w:r w:rsidRPr="000F4905">
        <w:rPr>
          <w:rFonts w:ascii="Times New Roman" w:hAnsi="Times New Roman" w:cs="Times New Roman"/>
          <w:bCs/>
          <w:sz w:val="24"/>
          <w:szCs w:val="24"/>
        </w:rPr>
        <w:t xml:space="preserve">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w:t>
      </w:r>
      <w:r w:rsidRPr="000F4905">
        <w:rPr>
          <w:rFonts w:ascii="Times New Roman" w:hAnsi="Times New Roman" w:cs="Times New Roman"/>
          <w:sz w:val="24"/>
          <w:szCs w:val="24"/>
        </w:rPr>
        <w:t>Компанії</w:t>
      </w:r>
      <w:r w:rsidRPr="000F4905">
        <w:rPr>
          <w:rFonts w:ascii="Times New Roman" w:hAnsi="Times New Roman" w:cs="Times New Roman"/>
          <w:bCs/>
          <w:sz w:val="24"/>
          <w:szCs w:val="24"/>
        </w:rPr>
        <w:t>. Облік на дату розрахунків передбачає:</w:t>
      </w:r>
    </w:p>
    <w:p w:rsidR="00A123B9" w:rsidRPr="000F4905" w:rsidRDefault="00A123B9" w:rsidP="000F4905">
      <w:pPr>
        <w:widowControl w:val="0"/>
        <w:numPr>
          <w:ilvl w:val="0"/>
          <w:numId w:val="6"/>
        </w:numPr>
        <w:spacing w:after="0" w:line="240" w:lineRule="auto"/>
        <w:ind w:left="0" w:firstLine="0"/>
        <w:jc w:val="both"/>
        <w:rPr>
          <w:rFonts w:ascii="Times New Roman" w:hAnsi="Times New Roman" w:cs="Times New Roman"/>
          <w:bCs/>
          <w:sz w:val="24"/>
          <w:szCs w:val="24"/>
          <w:lang w:eastAsia="ru-RU"/>
        </w:rPr>
      </w:pPr>
      <w:r w:rsidRPr="000F4905">
        <w:rPr>
          <w:rFonts w:ascii="Times New Roman" w:hAnsi="Times New Roman" w:cs="Times New Roman"/>
          <w:bCs/>
          <w:sz w:val="24"/>
          <w:szCs w:val="24"/>
          <w:lang w:eastAsia="ru-RU"/>
        </w:rPr>
        <w:t>визнання активу в день його отримання;</w:t>
      </w:r>
    </w:p>
    <w:p w:rsidR="00A123B9" w:rsidRPr="000F4905" w:rsidRDefault="00A123B9" w:rsidP="000F4905">
      <w:pPr>
        <w:widowControl w:val="0"/>
        <w:numPr>
          <w:ilvl w:val="0"/>
          <w:numId w:val="6"/>
        </w:numPr>
        <w:spacing w:after="0" w:line="240" w:lineRule="auto"/>
        <w:ind w:left="0" w:firstLine="0"/>
        <w:jc w:val="both"/>
        <w:rPr>
          <w:rFonts w:ascii="Times New Roman" w:hAnsi="Times New Roman" w:cs="Times New Roman"/>
          <w:bCs/>
          <w:sz w:val="24"/>
          <w:szCs w:val="24"/>
          <w:lang w:eastAsia="ru-RU"/>
        </w:rPr>
      </w:pPr>
      <w:r w:rsidRPr="000F4905">
        <w:rPr>
          <w:rFonts w:ascii="Times New Roman" w:hAnsi="Times New Roman" w:cs="Times New Roman"/>
          <w:bCs/>
          <w:sz w:val="24"/>
          <w:szCs w:val="24"/>
          <w:lang w:eastAsia="ru-RU"/>
        </w:rPr>
        <w:t xml:space="preserve">припинення визнання активу та визнання будь-якого прибутку або збитку від вибуття у </w:t>
      </w:r>
      <w:r w:rsidRPr="000F4905">
        <w:rPr>
          <w:rFonts w:ascii="Times New Roman" w:hAnsi="Times New Roman" w:cs="Times New Roman"/>
          <w:bCs/>
          <w:sz w:val="24"/>
          <w:szCs w:val="24"/>
          <w:lang w:eastAsia="ru-RU"/>
        </w:rPr>
        <w:lastRenderedPageBreak/>
        <w:t xml:space="preserve">день, коли </w:t>
      </w:r>
      <w:r w:rsidRPr="000F4905">
        <w:rPr>
          <w:rFonts w:ascii="Times New Roman" w:hAnsi="Times New Roman" w:cs="Times New Roman"/>
          <w:sz w:val="24"/>
          <w:szCs w:val="24"/>
          <w:lang w:eastAsia="ru-RU"/>
        </w:rPr>
        <w:t xml:space="preserve">Компанія </w:t>
      </w:r>
      <w:r w:rsidRPr="000F4905">
        <w:rPr>
          <w:rFonts w:ascii="Times New Roman" w:hAnsi="Times New Roman" w:cs="Times New Roman"/>
          <w:bCs/>
          <w:sz w:val="24"/>
          <w:szCs w:val="24"/>
          <w:lang w:eastAsia="ru-RU"/>
        </w:rPr>
        <w:t xml:space="preserve">позбавляється активу.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sz w:val="24"/>
          <w:szCs w:val="24"/>
        </w:rPr>
        <w:t xml:space="preserve">Компанія </w:t>
      </w:r>
      <w:r w:rsidRPr="000F4905">
        <w:rPr>
          <w:rFonts w:ascii="Times New Roman" w:hAnsi="Times New Roman" w:cs="Times New Roman"/>
          <w:bCs/>
          <w:sz w:val="24"/>
          <w:szCs w:val="24"/>
        </w:rPr>
        <w:t xml:space="preserve">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а) моделі бізнесу суб’єкта господарювання для управління фінансовими активами; та</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б) характеристик конкретних грошових потоків фінансового активу.</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sz w:val="24"/>
          <w:szCs w:val="24"/>
        </w:rPr>
        <w:t xml:space="preserve">Компанія </w:t>
      </w:r>
      <w:r w:rsidRPr="000F4905">
        <w:rPr>
          <w:rFonts w:ascii="Times New Roman" w:hAnsi="Times New Roman" w:cs="Times New Roman"/>
          <w:bCs/>
          <w:sz w:val="24"/>
          <w:szCs w:val="24"/>
        </w:rPr>
        <w:t>визнає такі категорії фінансових активів та фінансових зобов’язань:</w:t>
      </w:r>
    </w:p>
    <w:p w:rsidR="00A123B9" w:rsidRPr="000F4905" w:rsidRDefault="00A123B9" w:rsidP="000F4905">
      <w:pPr>
        <w:widowControl w:val="0"/>
        <w:numPr>
          <w:ilvl w:val="0"/>
          <w:numId w:val="7"/>
        </w:numPr>
        <w:spacing w:after="0" w:line="240" w:lineRule="auto"/>
        <w:ind w:left="0" w:firstLine="0"/>
        <w:jc w:val="both"/>
        <w:rPr>
          <w:rFonts w:ascii="Times New Roman" w:hAnsi="Times New Roman" w:cs="Times New Roman"/>
          <w:bCs/>
          <w:sz w:val="24"/>
          <w:szCs w:val="24"/>
          <w:lang w:eastAsia="ru-RU"/>
        </w:rPr>
      </w:pPr>
      <w:r w:rsidRPr="000F4905">
        <w:rPr>
          <w:rFonts w:ascii="Times New Roman" w:hAnsi="Times New Roman" w:cs="Times New Roman"/>
          <w:bCs/>
          <w:sz w:val="24"/>
          <w:szCs w:val="24"/>
          <w:lang w:eastAsia="ru-RU"/>
        </w:rPr>
        <w:t>такі, що оцінюються за справедливою вартістю, з відображенням результату переоцінки у прибутку або збитку;</w:t>
      </w:r>
    </w:p>
    <w:p w:rsidR="00A123B9" w:rsidRPr="000F4905" w:rsidRDefault="00A123B9" w:rsidP="000F4905">
      <w:pPr>
        <w:widowControl w:val="0"/>
        <w:numPr>
          <w:ilvl w:val="0"/>
          <w:numId w:val="7"/>
        </w:numPr>
        <w:spacing w:after="0" w:line="240" w:lineRule="auto"/>
        <w:ind w:left="0" w:firstLine="0"/>
        <w:jc w:val="both"/>
        <w:rPr>
          <w:rFonts w:ascii="Times New Roman" w:hAnsi="Times New Roman" w:cs="Times New Roman"/>
          <w:bCs/>
          <w:sz w:val="24"/>
          <w:szCs w:val="24"/>
          <w:lang w:eastAsia="ru-RU"/>
        </w:rPr>
      </w:pPr>
      <w:r w:rsidRPr="000F4905">
        <w:rPr>
          <w:rFonts w:ascii="Times New Roman" w:hAnsi="Times New Roman" w:cs="Times New Roman"/>
          <w:bCs/>
          <w:sz w:val="24"/>
          <w:szCs w:val="24"/>
          <w:lang w:eastAsia="ru-RU"/>
        </w:rPr>
        <w:t>такі, що оцінюються за амортизованою собівартістю.</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sz w:val="24"/>
          <w:szCs w:val="24"/>
        </w:rPr>
        <w:t xml:space="preserve">Компанія </w:t>
      </w:r>
      <w:r w:rsidRPr="000F4905">
        <w:rPr>
          <w:rFonts w:ascii="Times New Roman" w:hAnsi="Times New Roman" w:cs="Times New Roman"/>
          <w:bCs/>
          <w:sz w:val="24"/>
          <w:szCs w:val="24"/>
        </w:rPr>
        <w:t>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rsidR="00A123B9" w:rsidRPr="000F4905" w:rsidRDefault="00A123B9" w:rsidP="000F4905">
      <w:pPr>
        <w:widowControl w:val="0"/>
        <w:spacing w:after="0" w:line="240" w:lineRule="auto"/>
        <w:jc w:val="both"/>
        <w:rPr>
          <w:rFonts w:ascii="Times New Roman" w:hAnsi="Times New Roman" w:cs="Times New Roman"/>
          <w:bCs/>
          <w:sz w:val="24"/>
          <w:szCs w:val="24"/>
          <w:lang w:eastAsia="ru-RU"/>
        </w:rPr>
      </w:pPr>
      <w:r w:rsidRPr="000F4905">
        <w:rPr>
          <w:rFonts w:ascii="Times New Roman" w:hAnsi="Times New Roman" w:cs="Times New Roman"/>
          <w:bCs/>
          <w:sz w:val="24"/>
          <w:szCs w:val="24"/>
          <w:lang w:eastAsia="ru-RU"/>
        </w:rPr>
        <w:t xml:space="preserve">Фінансові активи та фінансові зобов’язання </w:t>
      </w:r>
      <w:r w:rsidRPr="000F4905">
        <w:rPr>
          <w:rFonts w:ascii="Times New Roman" w:hAnsi="Times New Roman" w:cs="Times New Roman"/>
          <w:sz w:val="24"/>
          <w:szCs w:val="24"/>
          <w:lang w:eastAsia="ru-RU"/>
        </w:rPr>
        <w:t xml:space="preserve">Компанії </w:t>
      </w:r>
      <w:r w:rsidRPr="000F4905">
        <w:rPr>
          <w:rFonts w:ascii="Times New Roman" w:hAnsi="Times New Roman" w:cs="Times New Roman"/>
          <w:bCs/>
          <w:sz w:val="24"/>
          <w:szCs w:val="24"/>
          <w:lang w:eastAsia="ru-RU"/>
        </w:rPr>
        <w:t xml:space="preserve">представлені грошовими коштами та їхніми еквівалентами, торговельною та іншою дебіторською заборгованістю, а також торговельною та іншою кредиторською заборгованістю. </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іі) Оцінка вартості фінансових інструментів</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Фінансові активи та фінансові зобов’язання первісно оцінюються за справедливою вартістю.</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ііі) Принцип оцінки за справедливою вартістю</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Наскільки можливо Компанія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В разі відсутності активного ринку, Компанія визначає справедливу вартість з використанням методів оцінки. </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іv) Принцип оцінки за амортизованою вартістю</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 Компанія визнає резерв під очікувані кредитні збитки за фінансовим активом, який обліковується за амортизованою вартістю.</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 xml:space="preserve">v) Очікувані кредитні збитки щодо фінансових інструментів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Компанія створює резерв під ОКЗ щодо всіх фінансових активів крім тих, які оцінюються за справедливою вартістю через прибутки/збитки, за розрахунків з пов’язаними особами, а також щодо зобов'язань по наданню позик і договорів фінансової гарантії. Такий резерв під знецінення </w:t>
      </w:r>
      <w:r w:rsidRPr="000F4905">
        <w:rPr>
          <w:rFonts w:ascii="Times New Roman" w:hAnsi="Times New Roman" w:cs="Times New Roman"/>
          <w:bCs/>
          <w:sz w:val="24"/>
          <w:szCs w:val="24"/>
        </w:rPr>
        <w:lastRenderedPageBreak/>
        <w:t>ґрунтується на величині очікуваних кредитних збитків, пов'язаних з ймовірністю дефолту протягом наступних 12 місяців, якщо не відбулося значного збільшення кредитного ризику з моменту первісного визнання за індивідуальними оцінками.</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Компанія застосовує спрощений підхід до визнання очікуваних кредитних збитків на весь строк дії торгової та іншої дебіторської заборгованості згідно з МСФЗ 9. Компанія відображає очікувані кредитні збитки та зміни очікуваних кредитних втрат на кожну звітну дату, щоб відобразити зміни в кредитному ризику після первісного визнання.</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При визначенні того, чи збільшився кредитний ризик фінансового активу з моменту первісного визнання та при оцінці ОКЗ, Компанія вважає, що наявна інформація є релевантною, актуальною та доступною без надмірних витрат або зусиль. Це включає в себе як кількісну, так і якісну інформацію та їх аналіз, виходячи з історичного досвіду Компанії та обґрунтованої кредитної оцінки.</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Компанія вважає фінансовий актив неплатоспроможним, коли малоймовірно, що позичальник сплатить свої кредитні зобов'язання перед Компаніям в повному обсязі.</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 xml:space="preserve">vі) Припинення визнання фінансових інструментів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Компанія 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воно передає фінансовий актив і всі істотні ризики й вигоди, пов’язані з володінням цим активом, іншій стороні.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rsidR="00A123B9" w:rsidRPr="000F4905" w:rsidRDefault="00A123B9" w:rsidP="000F4905">
      <w:pPr>
        <w:widowControl w:val="0"/>
        <w:spacing w:after="0" w:line="240" w:lineRule="auto"/>
        <w:jc w:val="both"/>
        <w:rPr>
          <w:rFonts w:ascii="Times New Roman" w:hAnsi="Times New Roman" w:cs="Times New Roman"/>
          <w:bCs/>
          <w:sz w:val="24"/>
          <w:szCs w:val="24"/>
        </w:rPr>
      </w:pPr>
      <w:r w:rsidRPr="000F4905">
        <w:rPr>
          <w:rFonts w:ascii="Times New Roman" w:hAnsi="Times New Roman" w:cs="Times New Roman"/>
          <w:bCs/>
          <w:sz w:val="24"/>
          <w:szCs w:val="24"/>
        </w:rPr>
        <w:t xml:space="preserve">Компанія припиняє визнавати фінансові зобов’язання тоді, коли зобов’язання Компанії 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Договори страхування</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і) Класифікація договорів страхування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Договори, за якими Компанія приймає значний страховий ризик іншої сторони (власника страхового поліса), погодившись надати компенсацію власникові страхового поліса чи іншому вигодонабувачу, у тому випадку, якщо визначена у контракті непевна майбутня подія (страховий випадок) негативно вплине на власника страхового поліса чи вигодонабувача, класифікуються як страхові контракти.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Страховий ризик не є фінансовим ризиком. Фінансовий ризик – це ризик можливої майбутньої зміни одного або кількох визначених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нефінансових параметрів – якщо така зміна не є характерною для сторони контракту. Страхові договори можуть також покривати певний фінансовий ризик.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Страховий ризик є суттєвим, якщо і тільки якщо внаслідок страхового випадку у Компанії може виникати зобов’язання зі сплати суттєвих збитків. З моменту класифікації договору як страхового договору його класифікація залишається незмінною до припинення дії договору або виконання всіх прав та зобов’язань. Договори, згідно з якими передача страхового ризику до Компанії від власника страхового поліса є несуттєвою, класифікуються як фінансові інструменти.</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іі) Визнання й оцінка договорів страхування</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Премії</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Страхові премії включають премії за договорами страхування, укладеними протягом року, і обліковуються як нараховані в поточному звітному періоді незалежно від того, чи відносяться вони повністю або частково до майбутніх періодів. Зароблена частина отриманих премій визнається доходом. Страхові премії за договорами, переданими у перестрахування, визнаються витратами відповідно до характеру наданого перестрахування протягом періоду відповідальності.</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lastRenderedPageBreak/>
        <w:t>Дострокове припинення дії договорів страхування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Дія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Про намір достроково припинити дію договору страхування будь-яка сторона зобов’язана повідомити іншу не пізніш як за 30 днів до дати припинення дії договору страхування, якщо інше ним не передбачено.</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У разі дострокового припинення дії договору страхування за вимогою страхувальника страховик повертає йому страхові платежі за період, що залишився до закінчення дії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відшкодування, здійснених за цим договором страхування. Якщо вимога страхувальника зумовлена порушенням страховиком положень договору страхування, то останній повертає страхувальникові сплачені ним страхові платежі повністю.</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У разі дострокового припинення дії договору страхування за вимогою страховика страхувальникові повертаються повністю сплачені ним страхові платежі. Якщо вимога страховика зумовлена невиконанням страхувальником умов договору страхування, то страховик повертає страхувальникові страхові платежі за час дії договору з вирахуванням витрат на ведення справи, визначених нормативом у розмірі страхового тарифу, виплат страхових сум та страхового відшкодування, що були здійснені за цим договором страхування.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Валова сума страхових премій відображається за вирахуванням повернених премій достроково припинених договорів страхування.</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 xml:space="preserve">Страхові виплати </w:t>
      </w:r>
      <w:r w:rsidRPr="000F4905">
        <w:rPr>
          <w:rFonts w:ascii="Times New Roman" w:hAnsi="Times New Roman" w:cs="Times New Roman"/>
          <w:sz w:val="24"/>
          <w:szCs w:val="24"/>
        </w:rPr>
        <w:t>визнаються в тому періоді, в якому вони виникають, на основі розрахункових зобов’язань з компенсації, що підлягає виплаті страховиком відповідно до умов договору страхування. Якщо сума страхової виплати визначена і підлягає сплаті, валова сума страхових виплат обліковується у складі витрат.</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Витрати на врегулювання збитків</w:t>
      </w:r>
      <w:r w:rsidRPr="000F4905">
        <w:rPr>
          <w:rFonts w:ascii="Times New Roman" w:hAnsi="Times New Roman" w:cs="Times New Roman"/>
          <w:sz w:val="24"/>
          <w:szCs w:val="24"/>
        </w:rPr>
        <w:t xml:space="preserve"> включають всі витрати, безпосередньо пов’язані з врегулюванням страхових виплат, в тому числі витрати на ассістанс, оплата за експертні (оцінні) роботи. Витрати на врегулювання збитків визнаються в момент їх виникнення. </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Суми відшкодувань</w:t>
      </w:r>
      <w:r w:rsidRPr="000F4905">
        <w:rPr>
          <w:rFonts w:ascii="Times New Roman" w:hAnsi="Times New Roman" w:cs="Times New Roman"/>
          <w:sz w:val="24"/>
          <w:szCs w:val="24"/>
        </w:rPr>
        <w:t xml:space="preserve"> від перестраховиків включає суми, отримані від перестраховиків  за страховими виплатами у зв’язку з чинними договорами перестрахування. Суми відшкодувань</w:t>
      </w:r>
      <w:r w:rsidR="00A36A1A" w:rsidRPr="00A36A1A">
        <w:rPr>
          <w:rFonts w:ascii="Times New Roman" w:hAnsi="Times New Roman" w:cs="Times New Roman"/>
          <w:sz w:val="24"/>
          <w:szCs w:val="24"/>
        </w:rPr>
        <w:t xml:space="preserve"> </w:t>
      </w:r>
      <w:r w:rsidRPr="000F4905">
        <w:rPr>
          <w:rFonts w:ascii="Times New Roman" w:hAnsi="Times New Roman" w:cs="Times New Roman"/>
          <w:sz w:val="24"/>
          <w:szCs w:val="24"/>
        </w:rPr>
        <w:t>від перестраховиків визнається одночасно із визнанням валової суми відповідних страхових виплат.</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ііі) Перестрахування</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передає в перестрахування частину прийнятих на страхування ризиків для того, щоб контролювати ризик збитків і захищати власний капітал.  Договори перестрахування не звільняють Компанію від його первісних зобов’язань перед страхувальником.</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Передані премії та суми відшкодувань, отриманих від перестраховиків представлені у прибутку чи збитку та у звіті про фінансові результати на валовій основі. </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Активи перестрахування включають залишки заборгованості від компаній-перестраховиків по переданим страховим зобов’язанням. Суми, що будуть відшкодовані перестраховиками, розраховуються на підставі врегульованих збитків по перестрахованим договорам.</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Премії за договорами перестрахування визнаються як дохід та обліковуються так, наче перестрахування є прямим страхуванням, з урахуванням класифікації продуктів з перестрахування.</w:t>
      </w:r>
    </w:p>
    <w:p w:rsidR="00A123B9" w:rsidRPr="000F4905" w:rsidRDefault="00A123B9" w:rsidP="000F4905">
      <w:pPr>
        <w:widowControl w:val="0"/>
        <w:tabs>
          <w:tab w:val="left" w:pos="142"/>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Активи перестрахування оцінюються на предмет зменшення корисності на кожну звітну дату. Такі активи вважаються знеціненими, якщо існують об’єктивні причини,  що Компанія може не отримати всі суми належні до оплати і якщо існує можливість оцінити вплив таких причин на суми, які Компанія може отримати від перестраховиків. Права за контрактами, що призводять до передачі суттєвої частини страхового ризику, обліковуються як активи з перестрахування. Права за контрактами, що не передбачають передачі суттєвого страхового ризику, обліковуються як фінансові інструменти.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iv) Страхові резерви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lastRenderedPageBreak/>
        <w:t>Резерви визнаються, коли Компанія має поточне зобов’язання в результаті подій, що сталися у минулому, коли існує ймовірність того, що погашення даного зобов’язання призведе до відтоку ресурсів, що являють собою економічні вигоди і існує можливість достовірно оцінити суму зобов’язання.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створює страхові резерви, що призначені забезпечити виконання зобов'язань за майбутніми виплатами страхових сум і страхового відшкодування, підвищити надійність та платоспроможність страхової компанії. Страхові резерви формуються згідно з ЗУ «Про страхування»,  Методики формування страхових резервів за видами страхування, іншими, ніж страхування життя, затверджених розпорядженням Державної комісії з регулювання ринків фінансових послуг України від 17.12.2004р. №3104 та</w:t>
      </w:r>
      <w:r w:rsidR="000F4905" w:rsidRPr="007E1CED">
        <w:rPr>
          <w:rFonts w:ascii="Times New Roman" w:hAnsi="Times New Roman" w:cs="Times New Roman"/>
          <w:sz w:val="24"/>
          <w:szCs w:val="24"/>
        </w:rPr>
        <w:t xml:space="preserve"> </w:t>
      </w:r>
      <w:r w:rsidRPr="000F4905">
        <w:rPr>
          <w:rFonts w:ascii="Times New Roman" w:hAnsi="Times New Roman" w:cs="Times New Roman"/>
          <w:sz w:val="24"/>
          <w:szCs w:val="24"/>
        </w:rPr>
        <w:t>«Внутрішньою політикою страховика із формування технічних резервів», що затверджена Головою правління ПрАТ «СГУ» 15 січня 2020 р.</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Резерв незароблених премій</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Резерв незароблених премій формується окремо за видами страхування за методом «плаваючих кварталів» виходячи із часток надходжень страхових платежів за три квартали, що передують звітній даті, із застосуванням коефіцієнтів 0,75; 0,5 та 0,25.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Частки надходжень сум страхових платежів визначаються як сума надходжень страхових платежів за відповідний період (перший, другий або третій квартал розрахункового періоду), зменшених на суми страхових платежів, що повертаються страхувальникам по договорам страхування.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Під час розрахунку частки перестраховиків у резерві незароблених премій також використовується метод «плаваючих кварталів».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Частки перестрахувальних платежів визначаються як сума платежів перестраховикам за відповідний період (перший, другий або третій квартал розрахункового періоду), зменшених на суми платежів, що повертаються перестраховикам.</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Зміни в резерві незароблених премій визнаються в складі прибутку чи збитку за період, в якому діє страхове покриття.</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Резерв заявлених, але невиплачених збитків.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Резерв заявлених, але невиплачених збитків (РЗНЗ) – формується для забезпечення виконання зобов'язань, що невиконані та неврегульовані або виконані неповністю страховиком на звітну дату. Величина резерву заявлених, але не виплачених збитків визначається за кожним видом страхування з урахуванням умов відповідних договорів на підставі відомих вимог страхувальників, отриманих у будь-якій формі в залежності від сум фактично зазнаних або очікуваних страхувальниками збитків (шкоди)  у разі настання страхового випадку.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Якщо про страховий випадок повідомлено, але розмір збитку не визначений, для розрахунку резерву використовують максимально можливу величину збитку, яка не перевищує страхової суми за договором. Величина резерву заявлених, але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та зменшеної на вже виплачені протягом звітного періоду збитки плюс витрати на врегулювання збитків. Останні приймаються в розмірі 3% від суми невиплачених збитків на кінець звітного періоду.</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Страхові резерви, згідно з чинним законодавством, розміщуються з урахуванням прибутковості, ліквідності, безпечності та диверсифікованості. Вони представлені активами таких  категорій:</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грошові кошти на поточному рахунку;</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банківські вклади (депозити);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нерухоме майно;</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права вимоги до перестраховиків.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На кожну звітну дату проводиться тест на достатність (адекватність) визнаних страхових зобов’язань за допомогою оцінки майбутніх грошових потоків від страхових договорів і порівняння прогнозованого грошового потоку з балансовою вартістю зобов’язань. При виконанні цих тестів використовуються поточні найкращі оцінки всіх майбутніх потоків грошових коштів </w:t>
      </w:r>
      <w:r w:rsidRPr="000F4905">
        <w:rPr>
          <w:rFonts w:ascii="Times New Roman" w:hAnsi="Times New Roman" w:cs="Times New Roman"/>
          <w:sz w:val="24"/>
          <w:szCs w:val="24"/>
        </w:rPr>
        <w:lastRenderedPageBreak/>
        <w:t xml:space="preserve">по договорам страхування і пов’язані з цим витрати, такі, як витрати на врегулювання збитків і інвестиційний дохід від активів, які забезпечують виконання договору страхування.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Якщо тест покаже, що врахована сума зобов’язань недостатня, то різниця відноситься до витрат звітного періоду, при цьому Компанія формує допоміжні технічні резерви.</w:t>
      </w:r>
    </w:p>
    <w:p w:rsidR="00A123B9" w:rsidRPr="000F4905" w:rsidRDefault="00A123B9" w:rsidP="000F4905">
      <w:pPr>
        <w:widowControl w:val="0"/>
        <w:spacing w:after="0" w:line="240" w:lineRule="auto"/>
        <w:jc w:val="both"/>
        <w:rPr>
          <w:rFonts w:ascii="Times New Roman" w:hAnsi="Times New Roman" w:cs="Times New Roman"/>
          <w:b/>
          <w:iCs/>
          <w:sz w:val="24"/>
          <w:szCs w:val="24"/>
        </w:rPr>
      </w:pPr>
      <w:r w:rsidRPr="000F4905">
        <w:rPr>
          <w:rFonts w:ascii="Times New Roman" w:hAnsi="Times New Roman" w:cs="Times New Roman"/>
          <w:b/>
          <w:iCs/>
          <w:sz w:val="24"/>
          <w:szCs w:val="24"/>
        </w:rPr>
        <w:t>Дебіторська та кредиторська заборгованість за основною діяльністю</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Дебіторська заборгованість по операціях страхування, авансові платежі</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а не до складу страхових резервів або перестрахувальних активів. Компанія може провести залік дебіторської й кредиторської заборгованості, якщо існує законодавчо встановлене право зробити взаємозалік.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Авансові платежі враховуються на дату здійснення платежу, але відображаються в складі прибутку чи збитку на дату надання послуг.</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Інша дебіторська заборгованість</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Інша дебіторська заборгованість визнається як актив тоді, коли Компанія стає стороною договору та, внаслідок цього, набуває юридичне право одержати грошові кошти.</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Первісна оцінка дебіторської заборгованості здійснюється за справедливою вартістю.</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Поточну дебіторську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A123B9" w:rsidRPr="000F4905" w:rsidRDefault="00A123B9" w:rsidP="000F4905">
      <w:pPr>
        <w:widowControl w:val="0"/>
        <w:spacing w:after="0" w:line="240" w:lineRule="auto"/>
        <w:jc w:val="both"/>
        <w:rPr>
          <w:rFonts w:ascii="Times New Roman" w:hAnsi="Times New Roman" w:cs="Times New Roman"/>
          <w:b/>
          <w:i/>
          <w:color w:val="000000"/>
          <w:sz w:val="24"/>
          <w:szCs w:val="24"/>
        </w:rPr>
      </w:pPr>
      <w:r w:rsidRPr="000F4905">
        <w:rPr>
          <w:rFonts w:ascii="Times New Roman" w:hAnsi="Times New Roman" w:cs="Times New Roman"/>
          <w:b/>
          <w:i/>
          <w:color w:val="000000"/>
          <w:sz w:val="24"/>
          <w:szCs w:val="24"/>
        </w:rPr>
        <w:t>Зобов’язання</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Кредиторська заборгованість визнається як зобов’язання тоді, коли Компанія стає стороною договору та, внаслідок цього, набуває юридичне зобов’язання сплатити грошові кошти.</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Поточні зобов’язання — це зобов’язання, які відповідають одній або декільком із нижченаведених ознак:</w:t>
      </w:r>
    </w:p>
    <w:p w:rsidR="00A123B9" w:rsidRPr="000F4905" w:rsidRDefault="00A123B9" w:rsidP="000F4905">
      <w:pPr>
        <w:widowControl w:val="0"/>
        <w:tabs>
          <w:tab w:val="left" w:pos="1009"/>
        </w:tabs>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 Керівництво Компанії сподівається погасити зобов'язання або зобов'язання підлягає погашенню протягом дванадцяти місяців після звітного періоду;</w:t>
      </w:r>
    </w:p>
    <w:p w:rsidR="00A123B9" w:rsidRPr="000F4905" w:rsidRDefault="00A123B9" w:rsidP="000F4905">
      <w:pPr>
        <w:widowControl w:val="0"/>
        <w:tabs>
          <w:tab w:val="left" w:pos="1009"/>
        </w:tabs>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 Керівництво Компанії не має безумовного права відстрочити погашення зобов’язання протягом щонайменше дванадцяти місяців після звітного періоду.</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Поточні зобов’язання визнаються за умови відповідності визначенню і критеріям визнання зобов’язань.</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Поточні зобов’язання оцінюються у подальшому за амортизованою вартістю.</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Поточну кредиторську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Забезпечення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Забезпечення визнаються, коли Компанія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Компанія створює забезпечення витрат на оплату щорічних (основних та додаткових) відпусток. Розрахунок такого забезпечення здійснюється на підставі правил Облікової політики Компанії. Розмір створеного забезпечення на оплату відпусток підлягає інвентаризації на кінець року. Розмір відрахувань до забезпечення 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коригуюча проводка в бухгалтерському обліку згідно даних інвентаризації забезпечення відпусток.</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Забезпечення можуть створюватись і у інших випадках, якщо за результатами минулих подій вибуття економічних вигід у майбутньому є ймовірним</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Грошові кошти та їх еквіваленти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Грошові кошти та їх еквіваленти є статтями, які легко конвертуються в певну суму наявних </w:t>
      </w:r>
      <w:r w:rsidRPr="000F4905">
        <w:rPr>
          <w:rFonts w:ascii="Times New Roman" w:hAnsi="Times New Roman" w:cs="Times New Roman"/>
          <w:sz w:val="24"/>
          <w:szCs w:val="24"/>
        </w:rPr>
        <w:lastRenderedPageBreak/>
        <w:t xml:space="preserve">коштів і підпадають незначній зміні вартості. Суми, у відношенні яких є які-небудь обмеження на їхнє використання, виключаються зі складу грошових коштів та їх еквівалентів. Компанія включає до складу грошових коштів та їх еквівалентів готівкові кошти й залишки на банківських рахунках, включаючи </w:t>
      </w:r>
      <w:r w:rsidRPr="000F4905">
        <w:rPr>
          <w:rFonts w:ascii="Times New Roman" w:hAnsi="Times New Roman" w:cs="Times New Roman"/>
          <w:color w:val="000000"/>
          <w:sz w:val="24"/>
          <w:szCs w:val="24"/>
        </w:rPr>
        <w:t>банківські депозити зі строком погашення до трьох місяців</w:t>
      </w:r>
      <w:r w:rsidRPr="000F4905">
        <w:rPr>
          <w:rFonts w:ascii="Times New Roman" w:hAnsi="Times New Roman" w:cs="Times New Roman"/>
          <w:sz w:val="24"/>
          <w:szCs w:val="24"/>
        </w:rPr>
        <w:t>.</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Компанія визнає банківські депозити зі строком погашення до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Акціонерний капітал</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Зареєстрований капітал</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bCs/>
          <w:iCs/>
          <w:sz w:val="24"/>
          <w:szCs w:val="24"/>
          <w:lang w:eastAsia="ru-RU"/>
        </w:rPr>
        <w:t>Зареєстрований(</w:t>
      </w:r>
      <w:r w:rsidRPr="000F4905">
        <w:rPr>
          <w:rFonts w:ascii="Times New Roman" w:hAnsi="Times New Roman" w:cs="Times New Roman"/>
          <w:sz w:val="24"/>
          <w:szCs w:val="24"/>
          <w:lang w:eastAsia="ru-RU"/>
        </w:rPr>
        <w:t>статутний капітал) – це зафіксована в установчих документах загальна номінальна вартість випущених акцій.</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 xml:space="preserve">Резервний капітал </w:t>
      </w:r>
    </w:p>
    <w:p w:rsidR="00A123B9" w:rsidRPr="000F4905" w:rsidRDefault="00A123B9" w:rsidP="000F4905">
      <w:pPr>
        <w:widowControl w:val="0"/>
        <w:spacing w:after="0" w:line="240" w:lineRule="auto"/>
        <w:jc w:val="both"/>
        <w:outlineLvl w:val="2"/>
        <w:rPr>
          <w:rFonts w:ascii="Times New Roman" w:hAnsi="Times New Roman" w:cs="Times New Roman"/>
          <w:sz w:val="24"/>
          <w:szCs w:val="24"/>
          <w:lang w:eastAsia="ru-RU"/>
        </w:rPr>
      </w:pPr>
      <w:r w:rsidRPr="000F4905">
        <w:rPr>
          <w:rFonts w:ascii="Times New Roman" w:hAnsi="Times New Roman" w:cs="Times New Roman"/>
          <w:sz w:val="24"/>
          <w:szCs w:val="24"/>
          <w:lang w:eastAsia="ru-RU"/>
        </w:rPr>
        <w:t>Резервний капітал Компанії формується з метою покриття можливих в майбутньому непередбачуваних збитків.  Компанія формує резервний капітал у розмірі 25% статутного капіталу.</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Дивіденди</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Можливість Компанії повідомляти й виплачувати дивіденди підпадає під регулювання чинного законодавства України.</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Дивіденди за звичайними акціями відображаються в фінансовій звітності як використання нерозподіленого прибутку в міру їх оголошення.</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Основні засоби</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 xml:space="preserve">і) Визнання та оцінка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A123B9" w:rsidRPr="000F4905" w:rsidRDefault="00A123B9" w:rsidP="000F4905">
      <w:pPr>
        <w:widowControl w:val="0"/>
        <w:spacing w:after="0" w:line="240" w:lineRule="auto"/>
        <w:jc w:val="both"/>
        <w:rPr>
          <w:rFonts w:ascii="Times New Roman" w:hAnsi="Times New Roman" w:cs="Times New Roman"/>
          <w:i/>
          <w:sz w:val="24"/>
          <w:szCs w:val="24"/>
          <w:highlight w:val="yellow"/>
          <w:lang w:eastAsia="ru-RU"/>
        </w:rPr>
      </w:pPr>
      <w:r w:rsidRPr="000F4905">
        <w:rPr>
          <w:rFonts w:ascii="Times New Roman" w:hAnsi="Times New Roman" w:cs="Times New Roman"/>
          <w:b/>
          <w:i/>
          <w:sz w:val="24"/>
          <w:szCs w:val="24"/>
          <w:lang w:eastAsia="ru-RU"/>
        </w:rPr>
        <w:t>іі) Переоцінка</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Нерухоме майно та транспортні засоби Компанії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Компанія прийняла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ііі)Амортизація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lastRenderedPageBreak/>
        <w:t xml:space="preserve">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 після місяця завершення 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tbl>
      <w:tblPr>
        <w:tblW w:w="8469" w:type="dxa"/>
        <w:tblInd w:w="108" w:type="dxa"/>
        <w:tblLook w:val="04A0"/>
      </w:tblPr>
      <w:tblGrid>
        <w:gridCol w:w="5954"/>
        <w:gridCol w:w="2515"/>
      </w:tblGrid>
      <w:tr w:rsidR="00A123B9" w:rsidRPr="000F4905" w:rsidTr="00A123B9">
        <w:trPr>
          <w:trHeight w:val="300"/>
        </w:trPr>
        <w:tc>
          <w:tcPr>
            <w:tcW w:w="5954" w:type="dxa"/>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Будинки, споруди, передавальні пристрої</w:t>
            </w:r>
          </w:p>
        </w:tc>
        <w:tc>
          <w:tcPr>
            <w:tcW w:w="2515" w:type="dxa"/>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40 років</w:t>
            </w:r>
          </w:p>
        </w:tc>
      </w:tr>
      <w:tr w:rsidR="00A123B9" w:rsidRPr="000F4905" w:rsidTr="00A123B9">
        <w:trPr>
          <w:trHeight w:val="300"/>
        </w:trPr>
        <w:tc>
          <w:tcPr>
            <w:tcW w:w="5954" w:type="dxa"/>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Машини та обладнання</w:t>
            </w:r>
          </w:p>
        </w:tc>
        <w:tc>
          <w:tcPr>
            <w:tcW w:w="2515" w:type="dxa"/>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5 років</w:t>
            </w:r>
          </w:p>
        </w:tc>
      </w:tr>
      <w:tr w:rsidR="00A123B9" w:rsidRPr="000F4905" w:rsidTr="00A123B9">
        <w:trPr>
          <w:trHeight w:val="300"/>
        </w:trPr>
        <w:tc>
          <w:tcPr>
            <w:tcW w:w="5954"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Транспортні засоби                                                           </w:t>
            </w:r>
          </w:p>
        </w:tc>
        <w:tc>
          <w:tcPr>
            <w:tcW w:w="2515"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10-18 років</w:t>
            </w:r>
          </w:p>
        </w:tc>
      </w:tr>
      <w:tr w:rsidR="00A123B9" w:rsidRPr="000F4905" w:rsidTr="00A123B9">
        <w:trPr>
          <w:trHeight w:val="300"/>
        </w:trPr>
        <w:tc>
          <w:tcPr>
            <w:tcW w:w="5954"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Комп’ютерна техніка                                                        </w:t>
            </w:r>
          </w:p>
        </w:tc>
        <w:tc>
          <w:tcPr>
            <w:tcW w:w="2515"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5 років</w:t>
            </w:r>
          </w:p>
        </w:tc>
      </w:tr>
      <w:tr w:rsidR="00A123B9" w:rsidRPr="000F4905" w:rsidTr="00A123B9">
        <w:trPr>
          <w:trHeight w:val="300"/>
        </w:trPr>
        <w:tc>
          <w:tcPr>
            <w:tcW w:w="5954"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Інструменти, прилади, інвентар (меблі)</w:t>
            </w:r>
          </w:p>
        </w:tc>
        <w:tc>
          <w:tcPr>
            <w:tcW w:w="2515"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4-5 років</w:t>
            </w:r>
          </w:p>
        </w:tc>
      </w:tr>
      <w:tr w:rsidR="00A123B9" w:rsidRPr="000F4905" w:rsidTr="00A123B9">
        <w:trPr>
          <w:trHeight w:val="300"/>
        </w:trPr>
        <w:tc>
          <w:tcPr>
            <w:tcW w:w="5954"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Інші основні засоби                                                          </w:t>
            </w:r>
          </w:p>
        </w:tc>
        <w:tc>
          <w:tcPr>
            <w:tcW w:w="2515" w:type="dxa"/>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до 12 років</w:t>
            </w:r>
          </w:p>
        </w:tc>
      </w:tr>
    </w:tbl>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За результатами проведеної інвентаризації основних засобів Компанією було прийняте рішення про застосування з 01.01.2023 року нових строків корисного використання для таких груп об’єктів як будинки, споруди та транспортні засоби. Строк корисного використання для будинків було подовжено до 40 років, а для транспортних засобів на строк від 10 до 20 років.</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Нематеріальні активи</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 xml:space="preserve">і) Визнання та оцінка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Компанією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знецінення. </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іі) Амортизація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перспективно.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rsidR="00A123B9" w:rsidRPr="000F4905" w:rsidRDefault="00A123B9" w:rsidP="000F4905">
      <w:pPr>
        <w:widowControl w:val="0"/>
        <w:spacing w:after="0" w:line="240" w:lineRule="auto"/>
        <w:jc w:val="both"/>
        <w:rPr>
          <w:rFonts w:ascii="Times New Roman" w:hAnsi="Times New Roman" w:cs="Times New Roman"/>
          <w:noProof/>
          <w:sz w:val="24"/>
          <w:szCs w:val="24"/>
          <w:lang w:eastAsia="ru-RU"/>
        </w:rPr>
      </w:pPr>
      <w:r w:rsidRPr="000F4905">
        <w:rPr>
          <w:rFonts w:ascii="Times New Roman" w:hAnsi="Times New Roman" w:cs="Times New Roman"/>
          <w:sz w:val="24"/>
          <w:szCs w:val="24"/>
          <w:lang w:eastAsia="ru-RU"/>
        </w:rPr>
        <w:t>Строки корисного використання нематеріальних активів:</w:t>
      </w:r>
    </w:p>
    <w:tbl>
      <w:tblPr>
        <w:tblW w:w="8647" w:type="dxa"/>
        <w:tblInd w:w="108" w:type="dxa"/>
        <w:tblLayout w:type="fixed"/>
        <w:tblLook w:val="0000"/>
      </w:tblPr>
      <w:tblGrid>
        <w:gridCol w:w="5812"/>
        <w:gridCol w:w="2835"/>
      </w:tblGrid>
      <w:tr w:rsidR="00A123B9" w:rsidRPr="000F4905" w:rsidTr="00A123B9">
        <w:tc>
          <w:tcPr>
            <w:tcW w:w="5812"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Програмне забезпечення</w:t>
            </w:r>
          </w:p>
        </w:tc>
        <w:tc>
          <w:tcPr>
            <w:tcW w:w="2835"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2 роки</w:t>
            </w:r>
          </w:p>
        </w:tc>
      </w:tr>
      <w:tr w:rsidR="00A123B9" w:rsidRPr="000F4905" w:rsidTr="00A123B9">
        <w:trPr>
          <w:trHeight w:val="120"/>
        </w:trPr>
        <w:tc>
          <w:tcPr>
            <w:tcW w:w="5812"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Інші нематеріальні активи</w:t>
            </w:r>
          </w:p>
        </w:tc>
        <w:tc>
          <w:tcPr>
            <w:tcW w:w="2835"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2 – 10 років</w:t>
            </w:r>
          </w:p>
        </w:tc>
      </w:tr>
      <w:tr w:rsidR="00A123B9" w:rsidRPr="000F4905" w:rsidTr="00A123B9">
        <w:trPr>
          <w:trHeight w:val="120"/>
        </w:trPr>
        <w:tc>
          <w:tcPr>
            <w:tcW w:w="5812"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Ліцензії</w:t>
            </w:r>
          </w:p>
        </w:tc>
        <w:tc>
          <w:tcPr>
            <w:tcW w:w="2835" w:type="dxa"/>
          </w:tcPr>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безстрокові</w:t>
            </w:r>
          </w:p>
        </w:tc>
      </w:tr>
    </w:tbl>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Оренда</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w:t>
      </w:r>
      <w:r w:rsidRPr="000F4905">
        <w:rPr>
          <w:rFonts w:ascii="Times New Roman" w:hAnsi="Times New Roman" w:cs="Times New Roman"/>
          <w:sz w:val="24"/>
          <w:szCs w:val="24"/>
        </w:rPr>
        <w:lastRenderedPageBreak/>
        <w:t>договором передається право контролювати використання ідентифікованого активу протягом певного періоду в обмін на відшкодування.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Компанією передбачається два звільнення від визнання – відносно оренди активів з низькою вартістю і короткострокової оренди. Компанія розглядає можливість визнавати малоцінними об’єкти оренди, справедливою вартістю менше 150000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Компанією по мірі нарахування чергових платежів до сплати.</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 xml:space="preserve">У разі укладення договорів оренди активів вартістю більше 150000 грн. і на термін більше 12 місяців, Компанія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Компанія використовуватиме середню відсоткову ставку за кредитами банків на початок дії договору оренди. За відсутності кредитів братиметься ставка, за якою Компанія могла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w:t>
      </w:r>
      <w:hyperlink r:id="rId5" w:history="1">
        <w:r w:rsidRPr="000F4905">
          <w:rPr>
            <w:rFonts w:ascii="Times New Roman" w:hAnsi="Times New Roman" w:cs="Times New Roman"/>
            <w:color w:val="0000FF"/>
            <w:sz w:val="24"/>
            <w:szCs w:val="24"/>
            <w:u w:val="single"/>
            <w:lang w:eastAsia="en-US"/>
          </w:rPr>
          <w:t>https://bank.gov.ua/</w:t>
        </w:r>
      </w:hyperlink>
      <w:r w:rsidRPr="000F4905">
        <w:rPr>
          <w:rFonts w:ascii="Times New Roman" w:hAnsi="Times New Roman" w:cs="Times New Roman"/>
          <w:sz w:val="24"/>
          <w:szCs w:val="24"/>
          <w:lang w:eastAsia="en-US"/>
        </w:rPr>
        <w:t>.</w:t>
      </w:r>
    </w:p>
    <w:p w:rsidR="00A123B9" w:rsidRPr="000F4905" w:rsidRDefault="00A123B9" w:rsidP="000F4905">
      <w:pPr>
        <w:widowControl w:val="0"/>
        <w:spacing w:after="0" w:line="240" w:lineRule="auto"/>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Знецінення нефінансових активів</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Всі нефінансові активи, відмінні від відстрочених податків, оцінюються станом на кожну звітну дату на предмет наявності ознак 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 вартості грошей та ризику, що притаманний даному активу. Для активу який не генерує потік грошових 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Усі збитки від знецінення нефінансових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 xml:space="preserve">Процентні доходи та витрати й комісійні доходи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Процентні доходи й витрати відображаються в складі прибутку чи збитку з використанням методу ефективної процентної ставки.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Інші комісії, а також інші доходи й витрати відносяться до складу прибутку чи збитку на дату надання відповідної послуги. </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Операції в іноземних валютах</w:t>
      </w:r>
    </w:p>
    <w:p w:rsidR="00A123B9" w:rsidRPr="000F4905" w:rsidRDefault="00A123B9" w:rsidP="000F4905">
      <w:pPr>
        <w:widowControl w:val="0"/>
        <w:spacing w:after="0" w:line="240" w:lineRule="auto"/>
        <w:jc w:val="both"/>
        <w:rPr>
          <w:rFonts w:ascii="Times New Roman" w:hAnsi="Times New Roman" w:cs="Times New Roman"/>
          <w:noProof/>
          <w:sz w:val="24"/>
          <w:szCs w:val="24"/>
          <w:lang w:eastAsia="ru-RU"/>
        </w:rPr>
      </w:pPr>
      <w:r w:rsidRPr="000F4905">
        <w:rPr>
          <w:rFonts w:ascii="Times New Roman" w:hAnsi="Times New Roman" w:cs="Times New Roman"/>
          <w:sz w:val="24"/>
          <w:szCs w:val="24"/>
          <w:lang w:eastAsia="ru-RU"/>
        </w:rPr>
        <w:t xml:space="preserve">Операції в іноземній валюті переводяться у функціональну валюту Компанії за валютними </w:t>
      </w:r>
      <w:r w:rsidRPr="000F4905">
        <w:rPr>
          <w:rFonts w:ascii="Times New Roman" w:hAnsi="Times New Roman" w:cs="Times New Roman"/>
          <w:sz w:val="24"/>
          <w:szCs w:val="24"/>
          <w:lang w:eastAsia="ru-RU"/>
        </w:rPr>
        <w:lastRenderedPageBreak/>
        <w:t xml:space="preserve">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Негрошові активи й зобов'язання, виражені в іноземній валюті і відображені по фактичним витратам, перераховуються у функціональну валюту за валютним 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Оподатковування</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 Поточний податок</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rsidR="00A123B9" w:rsidRPr="000F4905" w:rsidRDefault="00A123B9" w:rsidP="000F4905">
      <w:pPr>
        <w:widowControl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іі) Відстрочений податок</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rsidR="00A123B9" w:rsidRPr="000F4905" w:rsidRDefault="00A123B9" w:rsidP="000F4905">
      <w:pPr>
        <w:widowControl w:val="0"/>
        <w:spacing w:after="0" w:line="240" w:lineRule="auto"/>
        <w:jc w:val="both"/>
        <w:outlineLvl w:val="2"/>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Методи подання інформації у фінансових звітах</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p>
    <w:p w:rsidR="00A123B9" w:rsidRPr="000F4905" w:rsidRDefault="00A123B9" w:rsidP="000F4905">
      <w:pPr>
        <w:pStyle w:val="ac"/>
        <w:widowControl w:val="0"/>
        <w:ind w:left="0"/>
        <w:contextualSpacing w:val="0"/>
        <w:rPr>
          <w:b/>
          <w:color w:val="000000"/>
          <w:kern w:val="28"/>
          <w:lang w:eastAsia="uk-UA"/>
        </w:rPr>
      </w:pPr>
      <w:r w:rsidRPr="000F4905">
        <w:rPr>
          <w:b/>
        </w:rPr>
        <w:t xml:space="preserve">4. </w:t>
      </w:r>
      <w:r w:rsidRPr="000F4905">
        <w:rPr>
          <w:b/>
          <w:bCs/>
          <w:iCs/>
        </w:rPr>
        <w:t>Стандарти та інтерпретації</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F4905">
        <w:rPr>
          <w:rFonts w:ascii="Times New Roman" w:hAnsi="Times New Roman" w:cs="Times New Roman"/>
          <w:b/>
          <w:i/>
          <w:sz w:val="24"/>
          <w:szCs w:val="24"/>
          <w:lang w:eastAsia="ru-RU"/>
        </w:rPr>
        <w:t>4.1 Зміни до стандартів та інші нововведення, що набувають чинності з 01 січня 2023 року і пізніше</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0F4905">
        <w:rPr>
          <w:rFonts w:ascii="Times New Roman" w:hAnsi="Times New Roman" w:cs="Times New Roman"/>
          <w:b/>
          <w:sz w:val="24"/>
          <w:szCs w:val="24"/>
          <w:lang w:eastAsia="ru-RU"/>
        </w:rPr>
        <w:t>МСФЗ (IFRS) 17 «Страхові контракти»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i/>
          <w:iCs/>
          <w:sz w:val="24"/>
          <w:szCs w:val="24"/>
          <w:lang w:eastAsia="ru-RU"/>
        </w:rPr>
      </w:pPr>
      <w:r w:rsidRPr="000F4905">
        <w:rPr>
          <w:rFonts w:ascii="Times New Roman" w:hAnsi="Times New Roman" w:cs="Times New Roman"/>
          <w:i/>
          <w:iCs/>
          <w:sz w:val="24"/>
          <w:szCs w:val="24"/>
          <w:lang w:eastAsia="ru-RU"/>
        </w:rPr>
        <w:t>МСФЗ 17 "Страхові контракти" (опублікований 18 травня 2017 року і вступає в силу для річних періодів, які починаються з 1 січня 2023 року</w:t>
      </w:r>
      <w:r w:rsidR="000F4905" w:rsidRPr="007E1CED">
        <w:rPr>
          <w:rFonts w:ascii="Times New Roman" w:hAnsi="Times New Roman" w:cs="Times New Roman"/>
          <w:i/>
          <w:iCs/>
          <w:sz w:val="24"/>
          <w:szCs w:val="24"/>
          <w:lang w:eastAsia="ru-RU"/>
        </w:rPr>
        <w:t xml:space="preserve"> </w:t>
      </w:r>
      <w:r w:rsidRPr="000F4905">
        <w:rPr>
          <w:rFonts w:ascii="Times New Roman" w:eastAsia="TimesNewRomanPSMT" w:hAnsi="Times New Roman" w:cs="Times New Roman"/>
          <w:i/>
          <w:iCs/>
          <w:sz w:val="24"/>
          <w:szCs w:val="24"/>
          <w:lang w:eastAsia="ru-RU"/>
        </w:rPr>
        <w:t>або після цієї дати</w:t>
      </w:r>
      <w:r w:rsidRPr="000F4905">
        <w:rPr>
          <w:rFonts w:ascii="Times New Roman" w:hAnsi="Times New Roman" w:cs="Times New Roman"/>
          <w:i/>
          <w:iCs/>
          <w:sz w:val="24"/>
          <w:szCs w:val="24"/>
          <w:lang w:eastAsia="ru-RU"/>
        </w:rPr>
        <w:t>).</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Метою цього стандарту є встановлення єдиної облікової політики для всіх типів страхових контрактів, включаючи контракти перестрахування, держателем яких є страховик. Впровадження цього єдиного стандарту повинно забезпечити порівнянність показників фінансової звітності різних суб’єктів господарювання, що діють у різних державах і на різних ринках.</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Стандарт МСФЗ 17  визначає страховий контракт як контракт</w:t>
      </w: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 xml:space="preserve">за яким одна сторона приймає значний страховий ризик від іншої сторони (держателя страхового полісу), погоджуючись </w:t>
      </w:r>
      <w:r w:rsidRPr="000F4905">
        <w:rPr>
          <w:rFonts w:ascii="Times New Roman" w:eastAsia="TimesNewRomanPSMT" w:hAnsi="Times New Roman" w:cs="Times New Roman"/>
          <w:sz w:val="24"/>
          <w:szCs w:val="24"/>
          <w:lang w:eastAsia="ru-RU"/>
        </w:rPr>
        <w:lastRenderedPageBreak/>
        <w:t>виплатити держателеві страхового полісу компенсацію в разі певної події в майбутньому, настання якої пов'язане з невизначеністю, — страхової події, що справляє на держателя страхового полісу несприятливий вплив.</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Поза сферою дії цього стандарту знаходяться, серед інших, інвестиційні контракти, гарантії якості виробів, гарантії</w:t>
      </w: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пов’язані з кредитами, катастрофні облігації та так звані «погодні деривативи» (контракти</w:t>
      </w: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що встановлюють обов'язковість здійснення платежу, який залежить від кліматичної, геологічної або іншої змінної фізичного характеру, яка не є специфічною для сторони контракту).</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Цей стандарт вводить поняття межі контракту, визначаючи її початок як більш ранню з таких дат: початок періоду покриття, дату, коли перший платіж держателя полісу настає до сплати, або момент, коли факти та обставини вказують на те, що контракт належить до групи обтяжливих контрактів. Кінець межі контракту настає тоді, коли страховик має право або практичну спроможність переоцінити ризики конкретного держателя страхового полісу або групи полісів, а оцінка премії не покриває ризик, пов</w:t>
      </w:r>
      <w:r w:rsidRPr="000F4905">
        <w:rPr>
          <w:rFonts w:ascii="Times New Roman" w:hAnsi="Times New Roman" w:cs="Times New Roman"/>
          <w:sz w:val="24"/>
          <w:szCs w:val="24"/>
          <w:lang w:eastAsia="ru-RU"/>
        </w:rPr>
        <w:t>'</w:t>
      </w:r>
      <w:r w:rsidRPr="000F4905">
        <w:rPr>
          <w:rFonts w:ascii="Times New Roman" w:eastAsia="TimesNewRomanPSMT" w:hAnsi="Times New Roman" w:cs="Times New Roman"/>
          <w:sz w:val="24"/>
          <w:szCs w:val="24"/>
          <w:lang w:eastAsia="ru-RU"/>
        </w:rPr>
        <w:t>язаний з майбутніми періодами.</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Компанії необхідно буде більш детально розкривати у обліку результати своєї господарської діяльності. Це забезпечить більшу порівнянність та прозорість даних про прибутки нових та існуючих компаній та напрямків бізнесу і дає користувачам фінансової звітності можливість краще зрозуміти фінансовий стан страховика. Окреме подання результатів андеррайтингу та фінансових результатів підвищить рівень прозорості інформації щодо джерел прибутків та якості доходів.</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Згідно з МСФЗ 17</w:t>
      </w: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контракти оцінюватимуться із застосуванням одного з методів, наведених нижче:</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Загальна модель оцінки (GMM) – базова модель оцінки, за якою загальна величина страхового</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зобов’язання розраховується як сума:</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eastAsia="TimesNewRomanPSMT" w:hAnsi="Times New Roman" w:cs="Times New Roman"/>
          <w:sz w:val="24"/>
          <w:szCs w:val="24"/>
          <w:lang w:eastAsia="ru-RU"/>
        </w:rPr>
        <w:t>‐ дисконтованої величини найбільш точної оцінки майбутніх грошових потоків – величину (середньозважену ймовірність) очікуваних грошових потоків від премій, страхових вимог, страхових виплат, аквізиційних витрат і затрат</w:t>
      </w:r>
      <w:r w:rsidRPr="000F4905">
        <w:rPr>
          <w:rFonts w:ascii="Times New Roman" w:hAnsi="Times New Roman" w:cs="Times New Roman"/>
          <w:sz w:val="24"/>
          <w:szCs w:val="24"/>
          <w:lang w:eastAsia="ru-RU"/>
        </w:rPr>
        <w:t>;</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коригування на ризик (</w:t>
      </w:r>
      <w:r w:rsidRPr="000F4905">
        <w:rPr>
          <w:rFonts w:ascii="Times New Roman" w:hAnsi="Times New Roman" w:cs="Times New Roman"/>
          <w:sz w:val="24"/>
          <w:szCs w:val="24"/>
          <w:lang w:eastAsia="ru-RU"/>
        </w:rPr>
        <w:t xml:space="preserve">RA) </w:t>
      </w:r>
      <w:r w:rsidRPr="000F4905">
        <w:rPr>
          <w:rFonts w:ascii="Times New Roman" w:eastAsia="TimesNewRomanPSMT" w:hAnsi="Times New Roman" w:cs="Times New Roman"/>
          <w:sz w:val="24"/>
          <w:szCs w:val="24"/>
          <w:lang w:eastAsia="ru-RU"/>
        </w:rPr>
        <w:t>– індивідуальної оцінки невизначеності щодо суми та строків майбутніх грошових потоків, та</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 контрактної сервісної маржі (CSM) – що представляє оцінку майбутніх прибутків, визнаних протягом строку страхового полісу. Величина CSM є чутливою до оцінок грошових потоків, що виникають, наприклад, в результаті зміни припущень неекономічного характеру. Значення CSM не може бути від’ємним – будь</w:t>
      </w:r>
      <w:r w:rsidRPr="000F4905">
        <w:rPr>
          <w:rFonts w:ascii="Times New Roman" w:hAnsi="Times New Roman" w:cs="Times New Roman"/>
          <w:sz w:val="24"/>
          <w:szCs w:val="24"/>
          <w:lang w:eastAsia="ru-RU"/>
        </w:rPr>
        <w:t>-</w:t>
      </w:r>
      <w:r w:rsidRPr="000F4905">
        <w:rPr>
          <w:rFonts w:ascii="Times New Roman" w:eastAsia="TimesNewRomanPSMT" w:hAnsi="Times New Roman" w:cs="Times New Roman"/>
          <w:sz w:val="24"/>
          <w:szCs w:val="24"/>
          <w:lang w:eastAsia="ru-RU"/>
        </w:rPr>
        <w:t>які збитки за контрактом повинні визнаватися негайно у звіті про фінансові результати.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 xml:space="preserve">Підхід на основі розподілу премії </w:t>
      </w:r>
      <w:r w:rsidRPr="000F4905">
        <w:rPr>
          <w:rFonts w:ascii="Times New Roman" w:hAnsi="Times New Roman" w:cs="Times New Roman"/>
          <w:sz w:val="24"/>
          <w:szCs w:val="24"/>
          <w:lang w:eastAsia="ru-RU"/>
        </w:rPr>
        <w:t xml:space="preserve">(PAA) </w:t>
      </w:r>
      <w:r w:rsidRPr="000F4905">
        <w:rPr>
          <w:rFonts w:ascii="Times New Roman" w:eastAsia="TimesNewRomanPSMT" w:hAnsi="Times New Roman" w:cs="Times New Roman"/>
          <w:sz w:val="24"/>
          <w:szCs w:val="24"/>
          <w:lang w:eastAsia="ru-RU"/>
        </w:rPr>
        <w:t xml:space="preserve">– спрощена модель, яка може бути застосована при оцінці страхових контрактів, чий період покриття становить менше 1 року, або коли її застосування не приводить до значних змін по відношенню до GMM. Згідно з цією моделлю, механізм розрахунку зобов’язання за рештою покриття є аналогічним тому, що застосовується при створенні резерву незароблених премій, без окремого подання RA та </w:t>
      </w:r>
      <w:r w:rsidRPr="000F4905">
        <w:rPr>
          <w:rFonts w:ascii="Times New Roman" w:hAnsi="Times New Roman" w:cs="Times New Roman"/>
          <w:sz w:val="24"/>
          <w:szCs w:val="24"/>
          <w:lang w:eastAsia="ru-RU"/>
        </w:rPr>
        <w:t>CS</w:t>
      </w:r>
      <w:r w:rsidRPr="000F4905">
        <w:rPr>
          <w:rFonts w:ascii="Times New Roman" w:eastAsia="TimesNewRomanPSMT" w:hAnsi="Times New Roman" w:cs="Times New Roman"/>
          <w:sz w:val="24"/>
          <w:szCs w:val="24"/>
          <w:lang w:eastAsia="ru-RU"/>
        </w:rPr>
        <w:t>M, у той час, як зобов’язання за понесеними страховими збитками оцінюється з використанням GMM (без розрахунку C</w:t>
      </w:r>
      <w:r w:rsidRPr="000F4905">
        <w:rPr>
          <w:rFonts w:ascii="Times New Roman" w:hAnsi="Times New Roman" w:cs="Times New Roman"/>
          <w:sz w:val="24"/>
          <w:szCs w:val="24"/>
          <w:lang w:eastAsia="ru-RU"/>
        </w:rPr>
        <w:t>SM).</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hAnsi="Times New Roman" w:cs="Times New Roman"/>
          <w:sz w:val="24"/>
          <w:szCs w:val="24"/>
          <w:lang w:eastAsia="ru-RU"/>
        </w:rPr>
        <w:t xml:space="preserve">• </w:t>
      </w:r>
      <w:r w:rsidRPr="000F4905">
        <w:rPr>
          <w:rFonts w:ascii="Times New Roman" w:eastAsia="TimesNewRomanPSMT" w:hAnsi="Times New Roman" w:cs="Times New Roman"/>
          <w:sz w:val="24"/>
          <w:szCs w:val="24"/>
          <w:lang w:eastAsia="ru-RU"/>
        </w:rPr>
        <w:t>Метод змінної винагороди (V</w:t>
      </w:r>
      <w:r w:rsidRPr="000F4905">
        <w:rPr>
          <w:rFonts w:ascii="Times New Roman" w:hAnsi="Times New Roman" w:cs="Times New Roman"/>
          <w:sz w:val="24"/>
          <w:szCs w:val="24"/>
          <w:lang w:eastAsia="ru-RU"/>
        </w:rPr>
        <w:t xml:space="preserve">FA) </w:t>
      </w:r>
      <w:r w:rsidRPr="000F4905">
        <w:rPr>
          <w:rFonts w:ascii="Times New Roman" w:eastAsia="TimesNewRomanPSMT" w:hAnsi="Times New Roman" w:cs="Times New Roman"/>
          <w:sz w:val="24"/>
          <w:szCs w:val="24"/>
          <w:lang w:eastAsia="ru-RU"/>
        </w:rPr>
        <w:t>– модель, що використовується для страхових контрактів з умовами прямої участі. Величина зобов’язання розраховується у такий самий спосіб, як і GMM, при цьому величина CSM має додаткову чутливість до змін економічних припущень.</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Компанія планує застосовувати спрощену модель на основі розподілу премій (РАА).</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Положення МСФЗ 17 передбачають, що контракти перестрахування обліковуються окремо від страхових контрактів, переданих у перестрахування. Цедент повинен оцінювати контракти перестрахування, застосовуючи модифікований метод GMM або, якщо можливо, метод PAA.</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 xml:space="preserve">Модифікації методу GMM випливають перш за все з того факту, що контракти перестрахування, як правило, є активами, а не зобов’язаннями, і цедент сплачує винагороду перестраховику, а не отримує прибуток від контракту. Також очікується, що модифікації зменшать облікові різниці, </w:t>
      </w:r>
      <w:r w:rsidRPr="000F4905">
        <w:rPr>
          <w:rFonts w:ascii="Times New Roman" w:eastAsia="TimesNewRomanPSMT" w:hAnsi="Times New Roman" w:cs="Times New Roman"/>
          <w:sz w:val="24"/>
          <w:szCs w:val="24"/>
          <w:lang w:eastAsia="ru-RU"/>
        </w:rPr>
        <w:lastRenderedPageBreak/>
        <w:t>що виникають в результаті визнання контракту від перестрахування окремо від страхового контракту, переданого у перестрахування.</w:t>
      </w:r>
    </w:p>
    <w:p w:rsidR="00A123B9" w:rsidRPr="000F4905" w:rsidRDefault="00A123B9" w:rsidP="000F4905">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F4905">
        <w:rPr>
          <w:rFonts w:ascii="Times New Roman" w:eastAsia="TimesNewRomanPSMT" w:hAnsi="Times New Roman" w:cs="Times New Roman"/>
          <w:sz w:val="24"/>
          <w:szCs w:val="24"/>
          <w:lang w:eastAsia="ru-RU"/>
        </w:rPr>
        <w:t>Стосовно контрактів перестрахування, як прибуток, так і збиток, розраховані на момент визнання контракту, визнаються у звіті про фінансові результати та врегульовуються протягом періоду покриття контракту перестрахування. Припущення щодо оцінки контракту перестрахування повинні бути узгоджені з тими, що використовувалися стосовно оцінки страхового контракту, переданого у перестрахування. Крім того, при оцінці необхідно враховувати ризик невиконання перестраховиком його зобов’язань.</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eastAsia="TimesNewRomanPSMT" w:hAnsi="Times New Roman" w:cs="Times New Roman"/>
          <w:sz w:val="24"/>
          <w:szCs w:val="24"/>
          <w:lang w:eastAsia="ru-RU"/>
        </w:rPr>
        <w:t>Незважаючи на опублікування змісту МСФЗ 17, Рада по МСБО продовжує працювати над його остаточною редакцією. З цієї причини остаточна редакція стандарту відрізнятиметься від теперішнього тексту. Впровадження МСФЗ 17 матиме фундаментальний вплив як на процеси страхових компаній, так і на фінансову звітність Компанії</w:t>
      </w:r>
      <w:r w:rsidRPr="000F4905">
        <w:rPr>
          <w:rFonts w:ascii="Times New Roman" w:hAnsi="Times New Roman" w:cs="Times New Roman"/>
          <w:sz w:val="24"/>
          <w:szCs w:val="24"/>
          <w:lang w:eastAsia="ru-RU"/>
        </w:rPr>
        <w:t xml:space="preserve">.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eastAsia="TimesNewRomanPSMT" w:hAnsi="Times New Roman" w:cs="Times New Roman"/>
          <w:sz w:val="24"/>
          <w:szCs w:val="24"/>
          <w:lang w:eastAsia="ru-RU"/>
        </w:rPr>
        <w:t>Враховуючи, що визнані Компанією страхові контракти за МСФЗ 4 в повній мірі підпадають під визнання страхових контрактів за МСФЗ 17, а для оцінки зобов’язань за страховими контрактами Компанія і надалі планує регулярно залучати сертифікованого експерта-актуарія, керівництво Компанії не очікує суттєвих змін в оцінках та поданні у звітності активів,  зобов’язань, а також суттєво не впливатиме на власний капітал і сукупні доходи Компанії в майбутніх періодах.</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0F4905">
        <w:rPr>
          <w:rFonts w:ascii="Times New Roman" w:hAnsi="Times New Roman" w:cs="Times New Roman"/>
          <w:b/>
          <w:sz w:val="24"/>
          <w:szCs w:val="24"/>
          <w:lang w:eastAsia="ru-RU"/>
        </w:rPr>
        <w:t>Поправки до МСФЗ (IFRS) 17 «Страхові контракти»</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 xml:space="preserve">МСФЗ 17 замінює проміжний Стандарт </w:t>
      </w:r>
      <w:r w:rsidRPr="000F4905">
        <w:rPr>
          <w:rFonts w:ascii="Times New Roman" w:eastAsia="Arial" w:hAnsi="Times New Roman" w:cs="Times New Roman"/>
          <w:b/>
          <w:bCs/>
          <w:sz w:val="24"/>
          <w:szCs w:val="24"/>
          <w:lang w:bidi="uk-UA"/>
        </w:rPr>
        <w:t xml:space="preserve">- </w:t>
      </w:r>
      <w:r w:rsidRPr="000F4905">
        <w:rPr>
          <w:rFonts w:ascii="Times New Roman" w:eastAsia="Arial" w:hAnsi="Times New Roman" w:cs="Times New Roman"/>
          <w:bCs/>
          <w:sz w:val="24"/>
          <w:szCs w:val="24"/>
          <w:lang w:bidi="uk-UA"/>
        </w:rPr>
        <w:t>МСФЗ 4, вимагає забезпечення послідовного обліку для всіх страхових договорів на основі поточної моделі оцінки, надає корисну інформацію про рентабельність договорів страхування.</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bookmarkStart w:id="0" w:name="89"/>
      <w:r w:rsidRPr="000F4905">
        <w:rPr>
          <w:rFonts w:ascii="Times New Roman" w:eastAsia="Arial" w:hAnsi="Times New Roman" w:cs="Times New Roman"/>
          <w:bCs/>
          <w:sz w:val="24"/>
          <w:szCs w:val="24"/>
          <w:lang w:bidi="uk-UA"/>
        </w:rPr>
        <w:t>МСФЗ 17 застосовується до: страхових контрактів (включаючи контракти перестрахування), які суб'єкт господарювання випускає, контракти перестрахування, які суб'єкт господарювання утримує, інвестиційних контрактів із умовами дискреційної участі, які він випускає, якщо суб'єкт господарювання випускає також і страхові контракти.</w:t>
      </w:r>
      <w:bookmarkStart w:id="1" w:name="90"/>
      <w:bookmarkEnd w:id="0"/>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До основних нововведень МСФЗ 17 належить:</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2" w:name="91"/>
      <w:bookmarkEnd w:id="1"/>
      <w:r w:rsidRPr="000F4905">
        <w:rPr>
          <w:rFonts w:ascii="Times New Roman" w:eastAsia="Arial" w:hAnsi="Times New Roman" w:cs="Times New Roman"/>
          <w:bCs/>
          <w:sz w:val="24"/>
          <w:szCs w:val="24"/>
          <w:lang w:bidi="uk-UA"/>
        </w:rPr>
        <w:t>класифікація страхових та інвестиційних договорів;</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3" w:name="92"/>
      <w:bookmarkEnd w:id="2"/>
      <w:r w:rsidRPr="000F4905">
        <w:rPr>
          <w:rFonts w:ascii="Times New Roman" w:eastAsia="Arial" w:hAnsi="Times New Roman" w:cs="Times New Roman"/>
          <w:bCs/>
          <w:sz w:val="24"/>
          <w:szCs w:val="24"/>
          <w:lang w:bidi="uk-UA"/>
        </w:rPr>
        <w:t>обов'язкове відокремлення компонентів, які не є страховими;</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4" w:name="93"/>
      <w:bookmarkEnd w:id="3"/>
      <w:r w:rsidRPr="000F4905">
        <w:rPr>
          <w:rFonts w:ascii="Times New Roman" w:eastAsia="Arial" w:hAnsi="Times New Roman" w:cs="Times New Roman"/>
          <w:bCs/>
          <w:sz w:val="24"/>
          <w:szCs w:val="24"/>
          <w:lang w:bidi="uk-UA"/>
        </w:rPr>
        <w:t>визначення прибутковості страхових контрактів під час первісного визнання (наприклад чи є страхові контракти обтяжливими);</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5" w:name="94"/>
      <w:bookmarkEnd w:id="4"/>
      <w:r w:rsidRPr="000F4905">
        <w:rPr>
          <w:rFonts w:ascii="Times New Roman" w:eastAsia="Arial" w:hAnsi="Times New Roman" w:cs="Times New Roman"/>
          <w:bCs/>
          <w:sz w:val="24"/>
          <w:szCs w:val="24"/>
          <w:lang w:bidi="uk-UA"/>
        </w:rPr>
        <w:t>вимоги до агрегування контрактів: за рівнем ризику, прибутковістю, датою випуску та іншими вимогами стандарту;</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6" w:name="95"/>
      <w:bookmarkEnd w:id="5"/>
      <w:r w:rsidRPr="000F4905">
        <w:rPr>
          <w:rFonts w:ascii="Times New Roman" w:eastAsia="Arial" w:hAnsi="Times New Roman" w:cs="Times New Roman"/>
          <w:bCs/>
          <w:sz w:val="24"/>
          <w:szCs w:val="24"/>
          <w:lang w:bidi="uk-UA"/>
        </w:rPr>
        <w:t>розширення вимог до розкриття інформації у фінансовій звітності у структурі балансу та звіті про фінансові результати;</w:t>
      </w:r>
    </w:p>
    <w:bookmarkEnd w:id="6"/>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актуарні розрахунки через різні методи оцінки зобов'язань.</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0F4905">
        <w:rPr>
          <w:rFonts w:ascii="Times New Roman" w:hAnsi="Times New Roman" w:cs="Times New Roman"/>
          <w:b/>
          <w:bCs/>
          <w:sz w:val="24"/>
          <w:szCs w:val="24"/>
          <w:lang w:eastAsia="ru-RU"/>
        </w:rPr>
        <w:t>Поправки до МСБО (IAS) 1 «Подання</w:t>
      </w:r>
      <w:r w:rsidR="000F4905" w:rsidRPr="000F4905">
        <w:rPr>
          <w:rFonts w:ascii="Times New Roman" w:hAnsi="Times New Roman" w:cs="Times New Roman"/>
          <w:b/>
          <w:bCs/>
          <w:sz w:val="24"/>
          <w:szCs w:val="24"/>
          <w:lang w:val="ru-RU" w:eastAsia="ru-RU"/>
        </w:rPr>
        <w:t xml:space="preserve"> </w:t>
      </w:r>
      <w:r w:rsidRPr="000F4905">
        <w:rPr>
          <w:rFonts w:ascii="Times New Roman" w:hAnsi="Times New Roman" w:cs="Times New Roman"/>
          <w:b/>
          <w:bCs/>
          <w:sz w:val="24"/>
          <w:szCs w:val="24"/>
          <w:lang w:eastAsia="ru-RU"/>
        </w:rPr>
        <w:t>фінансової звітності»</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Поправки до МСБО 1 "Подання фінансової звітності" стосуються класифікації поточних та довгострокових зобов'язань, зокрема:</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уточнено, що зобов'язання класифікується як довгострокове, якщо організація має право відстрочити врегулювання зобов'язання щонайменше на 12 місяців - це право має існувати на дату закінчення звітного періоду;</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класифікація залежить тільки від наявності такого права і не залежить від ймовірності того, чи планує компанія скористатися цим правом;</w:t>
      </w:r>
    </w:p>
    <w:p w:rsidR="00A123B9" w:rsidRPr="000F4905" w:rsidRDefault="00A123B9" w:rsidP="000F4905">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докладніше прописаний порядок оцінки обмежувальних умов (ковенантів).</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Новий пункт у розділі "Короткострокові зобов'язання" викладено в такій редакції:</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 xml:space="preserve">"72A Право організації відстрочити врегулювання зобов'язання щонайменше на дванадцять місяців після закінчення звітного періоду має бути реальним і має існувати на дату закінчення звітного періоду. Якщо право відстрочити врегулювання зобов'язання залежить від виконання організацією певних умов, то це право існує на дату закінчення звітного періоду тільки в тому випадку, якщо організація виконала ці умови на дату закінчення звітного періоду. Організація повинна виконати ці умови на дату закінчення звітного періоду, навіть якщо перевірка їх </w:t>
      </w:r>
      <w:r w:rsidRPr="000F4905">
        <w:rPr>
          <w:rFonts w:ascii="Times New Roman" w:eastAsia="Arial" w:hAnsi="Times New Roman" w:cs="Times New Roman"/>
          <w:bCs/>
          <w:sz w:val="24"/>
          <w:szCs w:val="24"/>
          <w:lang w:bidi="uk-UA"/>
        </w:rPr>
        <w:lastRenderedPageBreak/>
        <w:t>виконання здійснюється кредитором пізніше."</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Зобов'язання класифікувалося як короткострокове виходячи з термінів його виконання, визначених умовами договору.</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Слід зауважити, що внесені зміни пропонують класифікувати зобов'язання як довгострокове шляхом "продовження" строку за рахунок наявності права виконати його пізніше як мінімум через рік після звітної дати.</w:t>
      </w:r>
    </w:p>
    <w:p w:rsidR="00A123B9" w:rsidRPr="000F4905" w:rsidRDefault="00A123B9" w:rsidP="000F4905">
      <w:pPr>
        <w:widowControl w:val="0"/>
        <w:spacing w:after="0" w:line="240" w:lineRule="auto"/>
        <w:jc w:val="both"/>
        <w:rPr>
          <w:rFonts w:ascii="Times New Roman" w:eastAsia="Arial" w:hAnsi="Times New Roman" w:cs="Times New Roman"/>
          <w:bCs/>
          <w:sz w:val="24"/>
          <w:szCs w:val="24"/>
          <w:lang w:bidi="uk-UA"/>
        </w:rPr>
      </w:pPr>
      <w:r w:rsidRPr="000F4905">
        <w:rPr>
          <w:rFonts w:ascii="Times New Roman" w:eastAsia="Arial" w:hAnsi="Times New Roman" w:cs="Times New Roman"/>
          <w:bCs/>
          <w:sz w:val="24"/>
          <w:szCs w:val="24"/>
          <w:lang w:bidi="uk-UA"/>
        </w:rPr>
        <w:t>За результатами застосування змін до МСБО 1 класифікація частини короткострокових зобов'язань може бути переглянута та змінена на довгострокові.</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Дані поправки набувають чинності для річних періодів, що починаються 1 січня 2023 року або після цієї дати, і застосовуються ретроспективно. В даний час Компанія аналізує можливий вплив цих поправок на поточну класифікацію зобов'язань і необхідність перегляду умов за існуючими договорами позики.</w:t>
      </w:r>
    </w:p>
    <w:p w:rsidR="00A123B9" w:rsidRPr="000F4905" w:rsidRDefault="00A123B9" w:rsidP="000F4905">
      <w:pPr>
        <w:widowControl w:val="0"/>
        <w:autoSpaceDE w:val="0"/>
        <w:autoSpaceDN w:val="0"/>
        <w:adjustRightInd w:val="0"/>
        <w:spacing w:after="0" w:line="240" w:lineRule="auto"/>
        <w:rPr>
          <w:rFonts w:ascii="Times New Roman" w:hAnsi="Times New Roman" w:cs="Times New Roman"/>
          <w:sz w:val="24"/>
          <w:szCs w:val="24"/>
          <w:lang w:eastAsia="ru-RU"/>
        </w:rPr>
      </w:pPr>
      <w:r w:rsidRPr="000F4905">
        <w:rPr>
          <w:rFonts w:ascii="Times New Roman" w:hAnsi="Times New Roman" w:cs="Times New Roman"/>
          <w:sz w:val="24"/>
          <w:szCs w:val="24"/>
          <w:lang w:eastAsia="ru-RU"/>
        </w:rPr>
        <w:t>Дана поправка не матиме впливу на фінансовий стан та результати діяльності Компанії.</w:t>
      </w:r>
    </w:p>
    <w:p w:rsidR="00A123B9" w:rsidRPr="000F4905" w:rsidRDefault="00A123B9" w:rsidP="000F4905">
      <w:pPr>
        <w:widowControl w:val="0"/>
        <w:autoSpaceDE w:val="0"/>
        <w:autoSpaceDN w:val="0"/>
        <w:adjustRightInd w:val="0"/>
        <w:spacing w:after="0" w:line="240" w:lineRule="auto"/>
        <w:rPr>
          <w:rFonts w:ascii="Times New Roman" w:hAnsi="Times New Roman" w:cs="Times New Roman"/>
          <w:b/>
          <w:sz w:val="24"/>
          <w:szCs w:val="24"/>
          <w:lang w:eastAsia="ru-RU"/>
        </w:rPr>
      </w:pPr>
      <w:r w:rsidRPr="000F4905">
        <w:rPr>
          <w:rFonts w:ascii="Times New Roman" w:hAnsi="Times New Roman" w:cs="Times New Roman"/>
          <w:b/>
          <w:sz w:val="24"/>
          <w:szCs w:val="24"/>
        </w:rPr>
        <w:t>Поправки до МСБО (IAS) 8 «Облікові політики, зміни в облікових оцінках та помилки»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У лютому 2021 року Рада з МСФЗ випустила поправки до МСБО (IAS) 8, якими вводиться визначення «бухгалтерських оцінок». У поправках пояснюється відмінність між змінами в бухгалтерських оцінках та змінами в обліковій політиці і виправленням помилок. Поправки роз’яснюють, що: </w:t>
      </w:r>
    </w:p>
    <w:p w:rsidR="00A123B9" w:rsidRPr="000F4905" w:rsidRDefault="00A123B9" w:rsidP="000F4905">
      <w:pPr>
        <w:pStyle w:val="ac"/>
        <w:widowControl w:val="0"/>
        <w:numPr>
          <w:ilvl w:val="0"/>
          <w:numId w:val="11"/>
        </w:numPr>
        <w:autoSpaceDE w:val="0"/>
        <w:autoSpaceDN w:val="0"/>
        <w:adjustRightInd w:val="0"/>
        <w:contextualSpacing w:val="0"/>
        <w:jc w:val="both"/>
      </w:pPr>
      <w:r w:rsidRPr="000F4905">
        <w:t xml:space="preserve">зміни в облікових оцінках, що є наслідком нової інформації або нових розробок, не є виправленням помилок; </w:t>
      </w:r>
    </w:p>
    <w:p w:rsidR="00A123B9" w:rsidRPr="000F4905" w:rsidRDefault="00A123B9" w:rsidP="000F4905">
      <w:pPr>
        <w:pStyle w:val="ac"/>
        <w:widowControl w:val="0"/>
        <w:numPr>
          <w:ilvl w:val="0"/>
          <w:numId w:val="11"/>
        </w:numPr>
        <w:autoSpaceDE w:val="0"/>
        <w:autoSpaceDN w:val="0"/>
        <w:adjustRightInd w:val="0"/>
        <w:contextualSpacing w:val="0"/>
        <w:jc w:val="both"/>
      </w:pPr>
      <w:r w:rsidRPr="000F4905">
        <w:t xml:space="preserve">результати зміни вхідних даних або методики оцінки є змінами в облікових оцінках, якщо вони не випливають із виправлення помилок минулих періодів; </w:t>
      </w:r>
    </w:p>
    <w:p w:rsidR="00A123B9" w:rsidRPr="000F4905" w:rsidRDefault="00A123B9" w:rsidP="000F4905">
      <w:pPr>
        <w:pStyle w:val="ac"/>
        <w:widowControl w:val="0"/>
        <w:numPr>
          <w:ilvl w:val="0"/>
          <w:numId w:val="11"/>
        </w:numPr>
        <w:autoSpaceDE w:val="0"/>
        <w:autoSpaceDN w:val="0"/>
        <w:adjustRightInd w:val="0"/>
        <w:contextualSpacing w:val="0"/>
        <w:jc w:val="both"/>
      </w:pPr>
      <w:r w:rsidRPr="000F4905">
        <w:t xml:space="preserve">зміни в облікових оцінках можуть впливати лише на прибутки/збитки поточного періоду або поточного та майбутнього періодів.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Поправки набувають чинності щодо річних звітних періодів, що починаються 1 січня 2023 року або після цієї дати, і застосовуються до змін в обліковій політиці та змін до бухгалтерських оцінок, що відбуваються на дату початку зазначеного періоду або після неї. Дозволяється дострокове застосування за умови розкриття цього факту. Очікується, що ця поправка не матиме суттєвого впливу на фінансову звітність Компанії.</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Поправки до МСБО (IAS) 12 «Податки на прибуток»</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 травні 2021 року</w:t>
      </w:r>
      <w:r w:rsidR="00A36A1A" w:rsidRPr="00A36A1A">
        <w:rPr>
          <w:rFonts w:ascii="Times New Roman" w:hAnsi="Times New Roman" w:cs="Times New Roman"/>
          <w:sz w:val="24"/>
          <w:szCs w:val="24"/>
          <w:lang w:val="ru-RU"/>
        </w:rPr>
        <w:t xml:space="preserve"> </w:t>
      </w:r>
      <w:r w:rsidRPr="000F4905">
        <w:rPr>
          <w:rFonts w:ascii="Times New Roman" w:hAnsi="Times New Roman" w:cs="Times New Roman"/>
          <w:sz w:val="24"/>
          <w:szCs w:val="24"/>
        </w:rPr>
        <w:t>Рада з МСФЗ випустила поправки до МСБО (IAS) 12, які звужують сферу застосування виключень з правил первісного визнання, відповідно до МСБО 12, таким чином, що виключення більше не застосовуються до операцій, які призводять до виникнення рівних тимчасових різниць, що підлягають оподатковуванню та вирахуванню.</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 Виключення застосовується лише в тому випадку, коли визнання активу з права користування та орендного зобов'язання (або зобов'язання та компонента активу з виведення з експлуатації) призводять до виникнення тимчасових різниць, що підлягають оподатковуванню та вирахуванню, які  не є рівними.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 Поправки також уточнюють, що вирахування в податкових цілях платежів в погашення зобов’язань є питанням судження (відповідно до податкового законодавства) про те, чи відповідають такі вирахування цілям оподаткування для зобов’язання, визнаного в фінансовій звітності) або пов’язаного активу.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Поправки набирають чинності для річних звітних періодів, що починаються 1 січня 2023 року або пізніше цієї дати. Допускається застосування до цієї дати за умови розкриття інформації про цей факт. Компанія повинна застосовувати поправки до операцій, що відбуваються на початку або після початку самого раннього з представлених порівняльних періодів. Крім того, на початок раннього з представлених порівняльних періодів Компанія повинна визнати відстрочений податковий актив (за умови наявності достатнього оподатковуваного прибутку) та відстрочене податкове зобов'язання щодо всіх тимчасових різниць, що підлягають оподаткуванню, пов'язаних з:</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 - активами з права користування та орендними зобов’язаннями;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F4905">
        <w:rPr>
          <w:rFonts w:ascii="Times New Roman" w:hAnsi="Times New Roman" w:cs="Times New Roman"/>
          <w:sz w:val="24"/>
          <w:szCs w:val="24"/>
        </w:rPr>
        <w:lastRenderedPageBreak/>
        <w:t xml:space="preserve"> - зобов'язаннями та відповідними сумами у складі активів з виведення з експлуатації. Очікується, що ця поправка не матиме суттєвого впливу на фінансову звітність Компанії.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Поправки до МСФЗ (IFRS) 10 «Консолідована фінансова звітність» і МСБО (IAS) 28 «Інвестиції в асоційовані та спільні підприємства»</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Поправки розглядають протиріччя між МСФЗ (IFRS) 10 і МСБО (IAS) 28 в частині обліку втрати контролю над дочірньою організацією, яка продається асоційованій організації або спільному підприємству або вноситься до них. Поправки роз'яснюють, що прибуток або збиток, які виникають в результаті продажу або внеску активів, що є бізнесом згідно з визначенням в МСФЗ (IFRS) 3, в угоді між інвестором і його асоційованою організацією або спільним підприємством, визнаються в повному об'ємі. Проте прибуток або збиток, які виникають в результаті продажу або внеску активів, що не є бізнесом, визнаються тільки в межах часток участі, наявних в інших, ніж організація, інвесторів в асоційованій організації або спільному підприємстві. Рада з МСФЗ перенесла дату набуття чинності цих поправок на невизначений термін, проте організація, що застосовує ці поправки достроково, повинна застосовувати їх перспективно.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Спеціальні поправки до вимог щодо операцій з продажу та зворотної оренди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 вересні 2022 року Рада з МСБО випустила поправки до МСФЗ 16 «Оренда», які доповнюють вимоги, що пояснюють, як компанія обліковує продаж і зворотну оренду після дати операції.</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Продаж із зворотною орендою — це угода, за якою компанія продає актив і бере той самий актив в оренду на певний період у нового власника.</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МСФЗ 16 містить вимоги щодо того, як обліковувати продаж із зворотною орендою на дату здійснення операції. Однак МСФЗ 16 не встановлює, як оцінювати операцію у звітності після цієї дати. Поправки, випущені у вересні</w:t>
      </w:r>
      <w:r w:rsidR="00A36A1A" w:rsidRPr="00A36A1A">
        <w:rPr>
          <w:rFonts w:ascii="Times New Roman" w:hAnsi="Times New Roman" w:cs="Times New Roman"/>
          <w:sz w:val="24"/>
          <w:szCs w:val="24"/>
          <w:lang w:val="ru-RU"/>
        </w:rPr>
        <w:t xml:space="preserve"> </w:t>
      </w:r>
      <w:r w:rsidRPr="000F4905">
        <w:rPr>
          <w:rFonts w:ascii="Times New Roman" w:hAnsi="Times New Roman" w:cs="Times New Roman"/>
          <w:sz w:val="24"/>
          <w:szCs w:val="24"/>
        </w:rPr>
        <w:t>2022 року, доповнюють вимоги щодо продажу та зворотної оренди в МСФЗ 16, таким чином підтримуючи послідовне застосування Стандарту.</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Ці поправки не змінять облік оренди, окрім тієї, що виникає в результаті операцій з продажу та зворотної оренди.</w:t>
      </w:r>
    </w:p>
    <w:p w:rsidR="00A123B9" w:rsidRPr="000F4905" w:rsidRDefault="00A123B9" w:rsidP="000F4905">
      <w:pPr>
        <w:widowControl w:val="0"/>
        <w:autoSpaceDE w:val="0"/>
        <w:autoSpaceDN w:val="0"/>
        <w:adjustRightInd w:val="0"/>
        <w:spacing w:after="0" w:line="240" w:lineRule="auto"/>
        <w:jc w:val="both"/>
      </w:pPr>
      <w:r w:rsidRPr="000F4905">
        <w:rPr>
          <w:rFonts w:ascii="Times New Roman" w:hAnsi="Times New Roman" w:cs="Times New Roman"/>
          <w:sz w:val="24"/>
          <w:szCs w:val="24"/>
        </w:rPr>
        <w:t>Поправки набувають чинності щодо річних звітних періодів, що починаються 1 січня 2024 року або після</w:t>
      </w:r>
      <w:r w:rsidRPr="000F4905">
        <w:t xml:space="preserve"> цієї дати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F4905">
        <w:rPr>
          <w:rFonts w:ascii="Times New Roman" w:hAnsi="Times New Roman" w:cs="Times New Roman"/>
          <w:b/>
          <w:iCs/>
          <w:sz w:val="24"/>
          <w:szCs w:val="24"/>
          <w:lang w:eastAsia="ru-RU"/>
        </w:rPr>
        <w:t>Непоточні зобов’язання з ковенантами (зміни до МСБО 1)</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 жовтні 2022 року Рада з МСБО (IASB) випустила документ «Непоточні зобов’язання з ковенантами», який вніс зміни до МСБО 1 «Подання фінансової звітності». Поправки вдосконалили інформацію, яку надає суб’єкт господарювання, якщо його право відстрочити погашення зобов’язання принаймні на дванадцять місяців залежить від дотримання умов. Поправки також є відповіддю на інформаційні потреби зацікавлених сторін щодо класифікації такого зобов’язання як поточного чи довгострокового.</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Поправки набувають чинності щодо річних звітних періодів, що починаються 1 січня 2024 року або після цієї дати.</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5.  Примітки до Звіту про фінансовий стан</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5.1   Нематеріальні активи (р. 1000)</w:t>
      </w:r>
    </w:p>
    <w:tbl>
      <w:tblPr>
        <w:tblW w:w="9639" w:type="dxa"/>
        <w:tblInd w:w="108" w:type="dxa"/>
        <w:tblLook w:val="0000"/>
      </w:tblPr>
      <w:tblGrid>
        <w:gridCol w:w="3890"/>
        <w:gridCol w:w="1649"/>
        <w:gridCol w:w="1756"/>
        <w:gridCol w:w="1075"/>
        <w:gridCol w:w="1260"/>
        <w:gridCol w:w="9"/>
      </w:tblGrid>
      <w:tr w:rsidR="00A123B9" w:rsidRPr="000F4905" w:rsidTr="00A123B9">
        <w:trPr>
          <w:gridAfter w:val="1"/>
          <w:wAfter w:w="9" w:type="dxa"/>
          <w:trHeight w:val="502"/>
        </w:trPr>
        <w:tc>
          <w:tcPr>
            <w:tcW w:w="4009" w:type="dxa"/>
            <w:tcBorders>
              <w:bottom w:val="single" w:sz="4" w:space="0" w:color="auto"/>
            </w:tcBorders>
          </w:tcPr>
          <w:p w:rsidR="00A123B9" w:rsidRPr="000F4905" w:rsidRDefault="00A123B9" w:rsidP="000F4905">
            <w:pPr>
              <w:widowControl w:val="0"/>
              <w:spacing w:after="0" w:line="240" w:lineRule="auto"/>
              <w:rPr>
                <w:rFonts w:ascii="Times New Roman" w:hAnsi="Times New Roman" w:cs="Times New Roman"/>
                <w:sz w:val="24"/>
                <w:szCs w:val="24"/>
              </w:rPr>
            </w:pP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Програмне забезпечення</w:t>
            </w: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Інші нематеріальні активи</w:t>
            </w: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Ліцензії</w:t>
            </w:r>
          </w:p>
        </w:tc>
        <w:tc>
          <w:tcPr>
            <w:tcW w:w="1282"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Разом</w:t>
            </w: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i/>
                <w:sz w:val="24"/>
                <w:szCs w:val="24"/>
              </w:rPr>
            </w:pPr>
            <w:r w:rsidRPr="000F4905">
              <w:rPr>
                <w:rFonts w:ascii="Times New Roman" w:hAnsi="Times New Roman" w:cs="Times New Roman"/>
                <w:b/>
                <w:i/>
                <w:sz w:val="24"/>
                <w:szCs w:val="24"/>
              </w:rPr>
              <w:t>Первісна вартість</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31.12.2021р.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388</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Придбання (виготовлення)</w:t>
            </w: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30.09.2022 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388</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i/>
                <w:sz w:val="24"/>
                <w:szCs w:val="24"/>
              </w:rPr>
            </w:pPr>
            <w:r w:rsidRPr="000F4905">
              <w:rPr>
                <w:rFonts w:ascii="Times New Roman" w:hAnsi="Times New Roman" w:cs="Times New Roman"/>
                <w:b/>
                <w:i/>
                <w:sz w:val="24"/>
                <w:szCs w:val="24"/>
              </w:rPr>
              <w:t>Первісна вартість</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31.12.2022р.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388</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Придбання (виготовлення)</w:t>
            </w: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lastRenderedPageBreak/>
              <w:t>Вибуття</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30.09.2023 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388</w:t>
            </w: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bCs/>
                <w:sz w:val="24"/>
                <w:szCs w:val="24"/>
              </w:rPr>
              <w:t>Накопичена амортизація та знецінення</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31.12.2021р.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(129)</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Амортизація за період</w:t>
            </w: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30.09.2022 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(129)</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bCs/>
                <w:sz w:val="24"/>
                <w:szCs w:val="24"/>
              </w:rPr>
              <w:t>Накопичена амортизація та знецінення</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на 31.12.2022р.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(129)</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Амортизація за період</w:t>
            </w: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30.09.2023 р.</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(127)</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(129)</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Чиста балансова вартість станом на</w:t>
            </w:r>
          </w:p>
        </w:tc>
        <w:tc>
          <w:tcPr>
            <w:tcW w:w="1588"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691"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60" w:type="dxa"/>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91" w:type="dxa"/>
            <w:gridSpan w:val="2"/>
            <w:tcBorders>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31.12.2021</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30.09.2022</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r>
      <w:tr w:rsidR="00A123B9" w:rsidRPr="000F4905" w:rsidTr="00A123B9">
        <w:trPr>
          <w:trHeight w:val="284"/>
        </w:trPr>
        <w:tc>
          <w:tcPr>
            <w:tcW w:w="4009"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31.12.2022</w:t>
            </w:r>
          </w:p>
        </w:tc>
        <w:tc>
          <w:tcPr>
            <w:tcW w:w="1588"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6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060"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r>
      <w:tr w:rsidR="00A123B9" w:rsidRPr="000F4905" w:rsidTr="00A123B9">
        <w:trPr>
          <w:trHeight w:val="284"/>
        </w:trPr>
        <w:tc>
          <w:tcPr>
            <w:tcW w:w="4009"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30.09.2023</w:t>
            </w:r>
          </w:p>
        </w:tc>
        <w:tc>
          <w:tcPr>
            <w:tcW w:w="1588"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691"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1060" w:type="dxa"/>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c>
          <w:tcPr>
            <w:tcW w:w="1291" w:type="dxa"/>
            <w:gridSpan w:val="2"/>
            <w:tcBorders>
              <w:top w:val="single" w:sz="4" w:space="0" w:color="auto"/>
            </w:tcBorders>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259</w:t>
            </w:r>
          </w:p>
        </w:tc>
      </w:tr>
    </w:tbl>
    <w:p w:rsidR="00A123B9" w:rsidRPr="000F4905" w:rsidRDefault="00A123B9" w:rsidP="000F4905">
      <w:pPr>
        <w:widowControl w:val="0"/>
        <w:spacing w:after="0" w:line="240" w:lineRule="auto"/>
        <w:jc w:val="both"/>
        <w:rPr>
          <w:rFonts w:ascii="Times New Roman" w:hAnsi="Times New Roman" w:cs="Times New Roman"/>
          <w:b/>
          <w:i/>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5.2 Основні засоби (р. 1010)</w:t>
      </w:r>
    </w:p>
    <w:p w:rsidR="00A123B9" w:rsidRPr="000F4905" w:rsidRDefault="00A123B9" w:rsidP="000F4905">
      <w:pPr>
        <w:widowControl w:val="0"/>
        <w:spacing w:after="0" w:line="240" w:lineRule="auto"/>
        <w:rPr>
          <w:rFonts w:ascii="Times New Roman" w:hAnsi="Times New Roman" w:cs="Times New Roman"/>
          <w:b/>
          <w:sz w:val="24"/>
          <w:szCs w:val="24"/>
        </w:rPr>
      </w:pPr>
    </w:p>
    <w:tbl>
      <w:tblPr>
        <w:tblW w:w="9900" w:type="dxa"/>
        <w:tblInd w:w="108" w:type="dxa"/>
        <w:tblLook w:val="0000"/>
      </w:tblPr>
      <w:tblGrid>
        <w:gridCol w:w="1907"/>
        <w:gridCol w:w="1161"/>
        <w:gridCol w:w="1497"/>
        <w:gridCol w:w="1589"/>
        <w:gridCol w:w="1639"/>
        <w:gridCol w:w="12"/>
        <w:gridCol w:w="1022"/>
        <w:gridCol w:w="14"/>
        <w:gridCol w:w="1059"/>
      </w:tblGrid>
      <w:tr w:rsidR="00A123B9" w:rsidRPr="000F4905" w:rsidTr="00A123B9">
        <w:trPr>
          <w:trHeight w:val="397"/>
        </w:trPr>
        <w:tc>
          <w:tcPr>
            <w:tcW w:w="2228" w:type="dxa"/>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133" w:type="dxa"/>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Споруди</w:t>
            </w:r>
          </w:p>
        </w:tc>
        <w:tc>
          <w:tcPr>
            <w:tcW w:w="1391" w:type="dxa"/>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Машини та обладнання</w:t>
            </w:r>
          </w:p>
        </w:tc>
        <w:tc>
          <w:tcPr>
            <w:tcW w:w="1475" w:type="dxa"/>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Транспортні засоби</w:t>
            </w:r>
          </w:p>
        </w:tc>
        <w:tc>
          <w:tcPr>
            <w:tcW w:w="1531" w:type="dxa"/>
            <w:gridSpan w:val="2"/>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Інструменти, прилади інвентар (меблі)</w:t>
            </w:r>
          </w:p>
        </w:tc>
        <w:tc>
          <w:tcPr>
            <w:tcW w:w="999" w:type="dxa"/>
            <w:gridSpan w:val="2"/>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Інші основні засоби</w:t>
            </w:r>
          </w:p>
        </w:tc>
        <w:tc>
          <w:tcPr>
            <w:tcW w:w="1143" w:type="dxa"/>
            <w:tcBorders>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Разом</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Первісна або переоцінена вартість</w:t>
            </w:r>
          </w:p>
        </w:tc>
        <w:tc>
          <w:tcPr>
            <w:tcW w:w="1133"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391"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475"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519" w:type="dxa"/>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002"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c>
          <w:tcPr>
            <w:tcW w:w="1152" w:type="dxa"/>
            <w:gridSpan w:val="2"/>
            <w:tcBorders>
              <w:top w:val="single" w:sz="4" w:space="0" w:color="auto"/>
              <w:bottom w:val="single" w:sz="4" w:space="0" w:color="auto"/>
            </w:tcBorders>
            <w:vAlign w:val="center"/>
          </w:tcPr>
          <w:p w:rsidR="00A123B9" w:rsidRPr="000F4905" w:rsidRDefault="00A123B9" w:rsidP="000F4905">
            <w:pPr>
              <w:widowControl w:val="0"/>
              <w:spacing w:after="0" w:line="240" w:lineRule="auto"/>
              <w:jc w:val="center"/>
              <w:rPr>
                <w:rFonts w:ascii="Times New Roman" w:hAnsi="Times New Roman" w:cs="Times New Roman"/>
                <w:sz w:val="24"/>
                <w:szCs w:val="24"/>
              </w:rPr>
            </w:pP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31.12.2021</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11 980</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427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4799</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680</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17894</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Придбання (виготовлення)</w:t>
            </w: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11 980</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427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4799</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686</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17900</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Первісна або переоцінена вартість</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16612</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427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5038</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684</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22770</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Придбання (виготовлення)</w:t>
            </w: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30.09.2023</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16612</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427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5038</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684</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22770</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bCs/>
                <w:sz w:val="24"/>
                <w:szCs w:val="24"/>
              </w:rPr>
              <w:t>Накопичена амортизація та знецінення</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31.12.2021</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(6 564)</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(337)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(3 490)</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(680)</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(11 079)</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lastRenderedPageBreak/>
              <w:t>Амортизація за період</w:t>
            </w: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(468)</w:t>
            </w: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(23)</w:t>
            </w: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(511)</w:t>
            </w: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(1008)</w:t>
            </w: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(6 883)</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(354)</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(3 830)</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(686)</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(11 761)</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bCs/>
                <w:sz w:val="24"/>
                <w:szCs w:val="24"/>
              </w:rPr>
              <w:t>Накопичена амортизація та знецінення</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sz w:val="24"/>
                <w:szCs w:val="24"/>
              </w:rPr>
              <w:t>на 31.12.2022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 xml:space="preserve">(9 958)        </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(367)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(3 384)</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(684)</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(14 401)</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Амортизація за період</w:t>
            </w: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(309)</w:t>
            </w: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w:t>
            </w: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(281)</w:t>
            </w: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(608)</w:t>
            </w: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Вибуття</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на 30.09.2023</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(10 267)</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(384)</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(3 665)</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(684)</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(15 009)</w:t>
            </w:r>
          </w:p>
        </w:tc>
      </w:tr>
      <w:tr w:rsidR="00A123B9" w:rsidRPr="000F4905" w:rsidTr="00A123B9">
        <w:trPr>
          <w:trHeight w:val="257"/>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sz w:val="24"/>
                <w:szCs w:val="24"/>
              </w:rPr>
            </w:pP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2228" w:type="dxa"/>
            <w:tcBorders>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Чиста балансова вартість станом на</w:t>
            </w:r>
          </w:p>
        </w:tc>
        <w:tc>
          <w:tcPr>
            <w:tcW w:w="1133"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391"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75"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19" w:type="dxa"/>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0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52" w:type="dxa"/>
            <w:gridSpan w:val="2"/>
            <w:tcBorders>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31.12.2021</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5 416</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90</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1 309</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6 815</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30.09.2022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4 948</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67</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798</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5 813</w:t>
            </w:r>
          </w:p>
        </w:tc>
      </w:tr>
      <w:tr w:rsidR="00A123B9" w:rsidRPr="000F4905" w:rsidTr="00A123B9">
        <w:trPr>
          <w:trHeight w:val="284"/>
        </w:trPr>
        <w:tc>
          <w:tcPr>
            <w:tcW w:w="2228" w:type="dxa"/>
            <w:tcBorders>
              <w:top w:val="single" w:sz="4" w:space="0" w:color="auto"/>
              <w:bottom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31.12.2022</w:t>
            </w:r>
          </w:p>
        </w:tc>
        <w:tc>
          <w:tcPr>
            <w:tcW w:w="1133"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6 654</w:t>
            </w:r>
          </w:p>
        </w:tc>
        <w:tc>
          <w:tcPr>
            <w:tcW w:w="1391"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60</w:t>
            </w:r>
          </w:p>
        </w:tc>
        <w:tc>
          <w:tcPr>
            <w:tcW w:w="1475"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1 654</w:t>
            </w:r>
          </w:p>
        </w:tc>
        <w:tc>
          <w:tcPr>
            <w:tcW w:w="1519" w:type="dxa"/>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00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152" w:type="dxa"/>
            <w:gridSpan w:val="2"/>
            <w:tcBorders>
              <w:top w:val="single" w:sz="4" w:space="0" w:color="auto"/>
              <w:bottom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8 369</w:t>
            </w:r>
          </w:p>
        </w:tc>
      </w:tr>
      <w:tr w:rsidR="00A123B9" w:rsidRPr="000F4905" w:rsidTr="00A123B9">
        <w:trPr>
          <w:trHeight w:val="284"/>
        </w:trPr>
        <w:tc>
          <w:tcPr>
            <w:tcW w:w="2228" w:type="dxa"/>
            <w:tcBorders>
              <w:top w:val="single" w:sz="4" w:space="0" w:color="auto"/>
            </w:tcBorders>
            <w:vAlign w:val="center"/>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30.09.2023</w:t>
            </w:r>
          </w:p>
        </w:tc>
        <w:tc>
          <w:tcPr>
            <w:tcW w:w="1133"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6 345</w:t>
            </w:r>
          </w:p>
        </w:tc>
        <w:tc>
          <w:tcPr>
            <w:tcW w:w="1391"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43</w:t>
            </w:r>
          </w:p>
        </w:tc>
        <w:tc>
          <w:tcPr>
            <w:tcW w:w="1475"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1 373</w:t>
            </w:r>
          </w:p>
        </w:tc>
        <w:tc>
          <w:tcPr>
            <w:tcW w:w="1519" w:type="dxa"/>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00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0</w:t>
            </w:r>
          </w:p>
        </w:tc>
        <w:tc>
          <w:tcPr>
            <w:tcW w:w="1152" w:type="dxa"/>
            <w:gridSpan w:val="2"/>
            <w:tcBorders>
              <w:top w:val="single" w:sz="4" w:space="0" w:color="auto"/>
            </w:tcBorders>
            <w:vAlign w:val="bottom"/>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7761</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Основні засоби з нульовою залишковою вартістю значаться в обліку до тих пір, поки існує можливість отримувати економічні вигоди від їх використання. Вартість основних засобів, на які повністю нарахована амортизація – 996 тис. грн.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Товариство не має інвестиційної нерухомості, відсутні контрактні зобов’язання на придбання основних засобів. Основні засоби не знаходяться в заставі або в</w:t>
      </w:r>
      <w:r w:rsidR="00A36A1A"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забезпеченні.</w:t>
      </w:r>
    </w:p>
    <w:p w:rsidR="00A123B9" w:rsidRPr="000F4905" w:rsidRDefault="00A123B9" w:rsidP="000F4905">
      <w:pPr>
        <w:widowControl w:val="0"/>
        <w:spacing w:after="0" w:line="240" w:lineRule="auto"/>
        <w:jc w:val="both"/>
        <w:rPr>
          <w:rFonts w:ascii="Times New Roman" w:hAnsi="Times New Roman" w:cs="Times New Roman"/>
          <w:bCs/>
          <w:iCs/>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5.3 Фінансові інвестиції (р. 1035)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балансі Компанії обліковуються акції наступних емітентів:</w:t>
      </w:r>
    </w:p>
    <w:tbl>
      <w:tblPr>
        <w:tblW w:w="0" w:type="auto"/>
        <w:tblLook w:val="04A0"/>
      </w:tblPr>
      <w:tblGrid>
        <w:gridCol w:w="5070"/>
        <w:gridCol w:w="1275"/>
        <w:gridCol w:w="1276"/>
        <w:gridCol w:w="1276"/>
        <w:gridCol w:w="1100"/>
      </w:tblGrid>
      <w:tr w:rsidR="00A123B9" w:rsidRPr="000F4905" w:rsidTr="00A123B9">
        <w:tc>
          <w:tcPr>
            <w:tcW w:w="5070" w:type="dxa"/>
            <w:vMerge w:val="restart"/>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2551" w:type="dxa"/>
            <w:gridSpan w:val="2"/>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30.09.2023</w:t>
            </w:r>
          </w:p>
        </w:tc>
        <w:tc>
          <w:tcPr>
            <w:tcW w:w="2376" w:type="dxa"/>
            <w:gridSpan w:val="2"/>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30.09.2022</w:t>
            </w:r>
          </w:p>
        </w:tc>
      </w:tr>
      <w:tr w:rsidR="00A123B9" w:rsidRPr="000F4905" w:rsidTr="00A123B9">
        <w:tc>
          <w:tcPr>
            <w:tcW w:w="5070" w:type="dxa"/>
            <w:vMerge/>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275" w:type="dxa"/>
            <w:tcBorders>
              <w:top w:val="single" w:sz="4" w:space="0" w:color="auto"/>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тис. грн</w:t>
            </w:r>
          </w:p>
        </w:tc>
        <w:tc>
          <w:tcPr>
            <w:tcW w:w="1276" w:type="dxa"/>
            <w:tcBorders>
              <w:top w:val="single" w:sz="4" w:space="0" w:color="auto"/>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частка в СК</w:t>
            </w:r>
          </w:p>
        </w:tc>
        <w:tc>
          <w:tcPr>
            <w:tcW w:w="1276" w:type="dxa"/>
            <w:tcBorders>
              <w:top w:val="single" w:sz="4" w:space="0" w:color="auto"/>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тис. грн</w:t>
            </w:r>
          </w:p>
        </w:tc>
        <w:tc>
          <w:tcPr>
            <w:tcW w:w="1100" w:type="dxa"/>
            <w:tcBorders>
              <w:top w:val="single" w:sz="4" w:space="0" w:color="auto"/>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частка в СК</w:t>
            </w:r>
          </w:p>
        </w:tc>
      </w:tr>
      <w:tr w:rsidR="00A123B9" w:rsidRPr="000F4905" w:rsidTr="00A123B9">
        <w:tc>
          <w:tcPr>
            <w:tcW w:w="5070" w:type="dxa"/>
            <w:tcBorders>
              <w:top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ПАТ «Імпульс-Плюс» (ЄРРПОУ 34881587)</w:t>
            </w:r>
          </w:p>
        </w:tc>
        <w:tc>
          <w:tcPr>
            <w:tcW w:w="1275"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3631</w:t>
            </w:r>
          </w:p>
        </w:tc>
        <w:tc>
          <w:tcPr>
            <w:tcW w:w="1276"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0,23%</w:t>
            </w:r>
          </w:p>
        </w:tc>
        <w:tc>
          <w:tcPr>
            <w:tcW w:w="1276"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3631</w:t>
            </w:r>
          </w:p>
        </w:tc>
        <w:tc>
          <w:tcPr>
            <w:tcW w:w="1100"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0,23%</w:t>
            </w:r>
          </w:p>
        </w:tc>
      </w:tr>
      <w:tr w:rsidR="00A123B9" w:rsidRPr="000F4905" w:rsidTr="00A123B9">
        <w:tc>
          <w:tcPr>
            <w:tcW w:w="5070"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ПАТ «Домінанта-Колект» (ЄДРПОУ 38003301)</w:t>
            </w:r>
          </w:p>
        </w:tc>
        <w:tc>
          <w:tcPr>
            <w:tcW w:w="1275"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3631</w:t>
            </w:r>
          </w:p>
        </w:tc>
        <w:tc>
          <w:tcPr>
            <w:tcW w:w="1276"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0,17%</w:t>
            </w:r>
          </w:p>
        </w:tc>
        <w:tc>
          <w:tcPr>
            <w:tcW w:w="1276"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3631</w:t>
            </w:r>
          </w:p>
        </w:tc>
        <w:tc>
          <w:tcPr>
            <w:tcW w:w="1100"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0,17%</w:t>
            </w:r>
          </w:p>
        </w:tc>
      </w:tr>
      <w:tr w:rsidR="00A123B9" w:rsidRPr="000F4905" w:rsidTr="00A123B9">
        <w:tc>
          <w:tcPr>
            <w:tcW w:w="5070" w:type="dxa"/>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ПАТ «Київський завод газового устаткування та приладів» (ЄДРПОУ 05453410)</w:t>
            </w:r>
          </w:p>
        </w:tc>
        <w:tc>
          <w:tcPr>
            <w:tcW w:w="1275"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2120</w:t>
            </w:r>
          </w:p>
        </w:tc>
        <w:tc>
          <w:tcPr>
            <w:tcW w:w="1276"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0,09%</w:t>
            </w:r>
          </w:p>
        </w:tc>
        <w:tc>
          <w:tcPr>
            <w:tcW w:w="1276"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2120</w:t>
            </w:r>
          </w:p>
        </w:tc>
        <w:tc>
          <w:tcPr>
            <w:tcW w:w="1100"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0,09%</w:t>
            </w:r>
          </w:p>
        </w:tc>
      </w:tr>
      <w:tr w:rsidR="00A123B9" w:rsidRPr="000F4905" w:rsidTr="00A123B9">
        <w:tc>
          <w:tcPr>
            <w:tcW w:w="5070" w:type="dxa"/>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(Мінус резерв знецінення)</w:t>
            </w:r>
          </w:p>
        </w:tc>
        <w:tc>
          <w:tcPr>
            <w:tcW w:w="1275"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(9 382)</w:t>
            </w:r>
          </w:p>
        </w:tc>
        <w:tc>
          <w:tcPr>
            <w:tcW w:w="1276"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highlight w:val="yellow"/>
              </w:rPr>
            </w:pPr>
          </w:p>
        </w:tc>
        <w:tc>
          <w:tcPr>
            <w:tcW w:w="1276"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(9 382)</w:t>
            </w:r>
          </w:p>
        </w:tc>
        <w:tc>
          <w:tcPr>
            <w:tcW w:w="1100" w:type="dxa"/>
            <w:tcBorders>
              <w:bottom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p>
        </w:tc>
      </w:tr>
      <w:tr w:rsidR="00A123B9" w:rsidRPr="000F4905" w:rsidTr="00A123B9">
        <w:tc>
          <w:tcPr>
            <w:tcW w:w="5070" w:type="dxa"/>
            <w:tcBorders>
              <w:top w:val="single" w:sz="4" w:space="0" w:color="auto"/>
            </w:tcBorders>
            <w:shd w:val="clear" w:color="auto" w:fill="auto"/>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bCs/>
                <w:sz w:val="24"/>
                <w:szCs w:val="24"/>
              </w:rPr>
              <w:t>Всього</w:t>
            </w:r>
          </w:p>
        </w:tc>
        <w:tc>
          <w:tcPr>
            <w:tcW w:w="1275"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w:t>
            </w:r>
          </w:p>
        </w:tc>
        <w:tc>
          <w:tcPr>
            <w:tcW w:w="1276"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х</w:t>
            </w:r>
          </w:p>
        </w:tc>
        <w:tc>
          <w:tcPr>
            <w:tcW w:w="1276"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w:t>
            </w:r>
          </w:p>
        </w:tc>
        <w:tc>
          <w:tcPr>
            <w:tcW w:w="1100" w:type="dxa"/>
            <w:tcBorders>
              <w:top w:val="single" w:sz="4" w:space="0" w:color="auto"/>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х</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 жодному з наведених емітентів Компанія не має контрольної участі або суттєвого впливу.</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Станом на 30 вересня 2023 року зазначені товариства включені Національною комісією з цінних паперів та фондового ринку до списку емітентів, що мають ознаки фіктивності, обіг їх цінних паперів зупинено.  Під вказані фінансові активи Компанією сформовано резерв знецінення в розмірі 100% загальною сумою 9 382 тис. грн.</w:t>
      </w:r>
    </w:p>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tabs>
          <w:tab w:val="left" w:pos="709"/>
          <w:tab w:val="left" w:pos="1701"/>
        </w:tabs>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5.4   Запаси (р. 1101)</w:t>
      </w:r>
    </w:p>
    <w:p w:rsidR="00A123B9" w:rsidRPr="000F4905" w:rsidRDefault="00A123B9" w:rsidP="000F4905">
      <w:pPr>
        <w:widowControl w:val="0"/>
        <w:tabs>
          <w:tab w:val="left" w:pos="709"/>
          <w:tab w:val="left" w:pos="1701"/>
        </w:tabs>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Запаси представленні таким чином:</w:t>
      </w:r>
    </w:p>
    <w:tbl>
      <w:tblPr>
        <w:tblW w:w="9796" w:type="dxa"/>
        <w:tblInd w:w="93" w:type="dxa"/>
        <w:tblLook w:val="04A0"/>
      </w:tblPr>
      <w:tblGrid>
        <w:gridCol w:w="6637"/>
        <w:gridCol w:w="1296"/>
        <w:gridCol w:w="284"/>
        <w:gridCol w:w="1579"/>
      </w:tblGrid>
      <w:tr w:rsidR="00A123B9" w:rsidRPr="000F4905" w:rsidTr="00A123B9">
        <w:trPr>
          <w:trHeight w:val="300"/>
        </w:trPr>
        <w:tc>
          <w:tcPr>
            <w:tcW w:w="6637"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1296"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284"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p>
        </w:tc>
        <w:tc>
          <w:tcPr>
            <w:tcW w:w="1579"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00"/>
        </w:trPr>
        <w:tc>
          <w:tcPr>
            <w:tcW w:w="6637" w:type="dxa"/>
            <w:tcBorders>
              <w:top w:val="single" w:sz="4" w:space="0" w:color="auto"/>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Паливо</w:t>
            </w:r>
          </w:p>
        </w:tc>
        <w:tc>
          <w:tcPr>
            <w:tcW w:w="1296" w:type="dxa"/>
            <w:tcBorders>
              <w:top w:val="single" w:sz="4" w:space="0" w:color="auto"/>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c>
          <w:tcPr>
            <w:tcW w:w="284" w:type="dxa"/>
            <w:tcBorders>
              <w:top w:val="single" w:sz="4" w:space="0" w:color="auto"/>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1579" w:type="dxa"/>
            <w:tcBorders>
              <w:top w:val="single" w:sz="4" w:space="0" w:color="auto"/>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0</w:t>
            </w:r>
          </w:p>
        </w:tc>
      </w:tr>
      <w:tr w:rsidR="00A123B9" w:rsidRPr="000F4905" w:rsidTr="00A123B9">
        <w:trPr>
          <w:trHeight w:val="315"/>
        </w:trPr>
        <w:tc>
          <w:tcPr>
            <w:tcW w:w="6637"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lastRenderedPageBreak/>
              <w:t>Всього</w:t>
            </w:r>
          </w:p>
        </w:tc>
        <w:tc>
          <w:tcPr>
            <w:tcW w:w="1296"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w:t>
            </w:r>
          </w:p>
        </w:tc>
        <w:tc>
          <w:tcPr>
            <w:tcW w:w="284"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579"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0</w:t>
            </w:r>
          </w:p>
        </w:tc>
      </w:tr>
    </w:tbl>
    <w:p w:rsidR="00A123B9" w:rsidRPr="000F4905" w:rsidRDefault="00A123B9" w:rsidP="000F4905">
      <w:pPr>
        <w:widowControl w:val="0"/>
        <w:spacing w:after="0" w:line="240" w:lineRule="auto"/>
        <w:jc w:val="both"/>
        <w:rPr>
          <w:rFonts w:ascii="Times New Roman" w:hAnsi="Times New Roman" w:cs="Times New Roman"/>
          <w:b/>
          <w:i/>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5.5   Дебіторська заборгованість  (р. 1125, рр. 1130-1155)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Дебіторська заборгованість від страхової діяльності (р. 1125) представлена таким чином:</w:t>
      </w:r>
    </w:p>
    <w:tbl>
      <w:tblPr>
        <w:tblW w:w="9889" w:type="dxa"/>
        <w:tblLook w:val="04A0"/>
      </w:tblPr>
      <w:tblGrid>
        <w:gridCol w:w="5778"/>
        <w:gridCol w:w="2126"/>
        <w:gridCol w:w="1985"/>
      </w:tblGrid>
      <w:tr w:rsidR="00A123B9" w:rsidRPr="000F4905" w:rsidTr="00A123B9">
        <w:tc>
          <w:tcPr>
            <w:tcW w:w="5778" w:type="dxa"/>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2126" w:type="dxa"/>
            <w:tcBorders>
              <w:bottom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30.09.2023</w:t>
            </w:r>
          </w:p>
        </w:tc>
        <w:tc>
          <w:tcPr>
            <w:tcW w:w="1985" w:type="dxa"/>
            <w:tcBorders>
              <w:bottom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30.09.2022</w:t>
            </w:r>
          </w:p>
        </w:tc>
      </w:tr>
      <w:tr w:rsidR="00A123B9" w:rsidRPr="000F4905" w:rsidTr="00A123B9">
        <w:tc>
          <w:tcPr>
            <w:tcW w:w="5778" w:type="dxa"/>
            <w:tcBorders>
              <w:top w:val="single" w:sz="4" w:space="0" w:color="auto"/>
            </w:tcBorders>
            <w:shd w:val="clear" w:color="auto" w:fill="auto"/>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Розрахунки з вітчизняними страхувальниками  (юридичні особи)            </w:t>
            </w:r>
          </w:p>
        </w:tc>
        <w:tc>
          <w:tcPr>
            <w:tcW w:w="2126"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1985"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w:t>
            </w:r>
          </w:p>
        </w:tc>
      </w:tr>
      <w:tr w:rsidR="00A123B9" w:rsidRPr="000F4905" w:rsidTr="00A123B9">
        <w:tc>
          <w:tcPr>
            <w:tcW w:w="5778" w:type="dxa"/>
            <w:tcBorders>
              <w:top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b/>
                <w:sz w:val="24"/>
                <w:szCs w:val="24"/>
              </w:rPr>
              <w:t>Всього</w:t>
            </w:r>
          </w:p>
        </w:tc>
        <w:tc>
          <w:tcPr>
            <w:tcW w:w="2126"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w:t>
            </w:r>
          </w:p>
        </w:tc>
        <w:tc>
          <w:tcPr>
            <w:tcW w:w="1985" w:type="dxa"/>
            <w:tcBorders>
              <w:top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13</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pStyle w:val="Default"/>
        <w:widowControl w:val="0"/>
        <w:jc w:val="both"/>
        <w:rPr>
          <w:rFonts w:ascii="Times New Roman" w:hAnsi="Times New Roman" w:cs="Times New Roman"/>
          <w:color w:val="auto"/>
          <w:lang w:val="uk-UA"/>
        </w:rPr>
      </w:pPr>
      <w:r w:rsidRPr="000F4905">
        <w:rPr>
          <w:rFonts w:ascii="Times New Roman" w:hAnsi="Times New Roman" w:cs="Times New Roman"/>
          <w:color w:val="auto"/>
          <w:lang w:val="uk-UA"/>
        </w:rPr>
        <w:t>Компанія оцінює, що середній період погашення дебіторської заборгованості становить 30 днів з дати її виникнення. Дана оцінка проведена на основі історії здійснення платежів від страхувальників по договорам страхування. Компанія оцінює, що дана дебіторська заборгованість буде повністю погашена страхувальниками.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По дебіторській заборгованості, яка має ознаки сумнівності нараховується резерв очікуваних кредитних збитків, який визначається за методом застосування абсолютної суми сумнівної заборгованості на основі аналізу платоспроможності окремих дебіторів.</w:t>
      </w:r>
    </w:p>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Інша дебіторська заборгованість (рр. 1130-1155)  представлена таким чином:</w:t>
      </w:r>
    </w:p>
    <w:tbl>
      <w:tblPr>
        <w:tblW w:w="9781" w:type="dxa"/>
        <w:tblInd w:w="108" w:type="dxa"/>
        <w:tblLook w:val="04A0"/>
      </w:tblPr>
      <w:tblGrid>
        <w:gridCol w:w="6379"/>
        <w:gridCol w:w="1418"/>
        <w:gridCol w:w="1984"/>
      </w:tblGrid>
      <w:tr w:rsidR="00A123B9" w:rsidRPr="000F4905" w:rsidTr="00A123B9">
        <w:trPr>
          <w:trHeight w:val="312"/>
        </w:trPr>
        <w:tc>
          <w:tcPr>
            <w:tcW w:w="6379"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984"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00"/>
        </w:trPr>
        <w:tc>
          <w:tcPr>
            <w:tcW w:w="6379"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Аванси постачальникам товарів і послуг </w:t>
            </w:r>
          </w:p>
        </w:tc>
        <w:tc>
          <w:tcPr>
            <w:tcW w:w="141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49</w:t>
            </w: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71</w:t>
            </w:r>
          </w:p>
        </w:tc>
      </w:tr>
      <w:tr w:rsidR="00A123B9" w:rsidRPr="000F4905" w:rsidTr="00A123B9">
        <w:trPr>
          <w:trHeight w:val="300"/>
        </w:trPr>
        <w:tc>
          <w:tcPr>
            <w:tcW w:w="6379"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Розрахунки з бюджетом  </w:t>
            </w:r>
          </w:p>
        </w:tc>
        <w:tc>
          <w:tcPr>
            <w:tcW w:w="141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9</w:t>
            </w:r>
          </w:p>
        </w:tc>
      </w:tr>
      <w:tr w:rsidR="00A123B9" w:rsidRPr="000F4905" w:rsidTr="00A123B9">
        <w:trPr>
          <w:trHeight w:val="600"/>
        </w:trPr>
        <w:tc>
          <w:tcPr>
            <w:tcW w:w="6379"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Заборгованість по нарахованим  відсоткам  за депозитними угодами з банками</w:t>
            </w:r>
          </w:p>
        </w:tc>
        <w:tc>
          <w:tcPr>
            <w:tcW w:w="141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272</w:t>
            </w: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311</w:t>
            </w:r>
          </w:p>
        </w:tc>
      </w:tr>
      <w:tr w:rsidR="00A123B9" w:rsidRPr="000F4905" w:rsidTr="00A123B9">
        <w:trPr>
          <w:trHeight w:val="312"/>
        </w:trPr>
        <w:tc>
          <w:tcPr>
            <w:tcW w:w="6379"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Інша поточна дебіторська заборгованість </w:t>
            </w:r>
          </w:p>
        </w:tc>
        <w:tc>
          <w:tcPr>
            <w:tcW w:w="1418" w:type="dxa"/>
            <w:tcBorders>
              <w:top w:val="nil"/>
              <w:left w:val="nil"/>
              <w:bottom w:val="single" w:sz="8"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1 791</w:t>
            </w:r>
          </w:p>
        </w:tc>
        <w:tc>
          <w:tcPr>
            <w:tcW w:w="1984"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15</w:t>
            </w:r>
          </w:p>
        </w:tc>
      </w:tr>
      <w:tr w:rsidR="00A123B9" w:rsidRPr="000F4905" w:rsidTr="00A123B9">
        <w:trPr>
          <w:trHeight w:val="312"/>
        </w:trPr>
        <w:tc>
          <w:tcPr>
            <w:tcW w:w="6379"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(Мінус резерв очікуваних кредитних збитків)</w:t>
            </w:r>
          </w:p>
        </w:tc>
        <w:tc>
          <w:tcPr>
            <w:tcW w:w="1418"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c>
          <w:tcPr>
            <w:tcW w:w="1984"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r>
      <w:tr w:rsidR="00A123B9" w:rsidRPr="000F4905" w:rsidTr="00A123B9">
        <w:trPr>
          <w:trHeight w:val="312"/>
        </w:trPr>
        <w:tc>
          <w:tcPr>
            <w:tcW w:w="6379"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 xml:space="preserve">Всього </w:t>
            </w:r>
          </w:p>
        </w:tc>
        <w:tc>
          <w:tcPr>
            <w:tcW w:w="1418"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2 119</w:t>
            </w:r>
          </w:p>
        </w:tc>
        <w:tc>
          <w:tcPr>
            <w:tcW w:w="1984"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403</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30 вересня 2022 року до поточної дебіторської заборгованості віднесено грошові кошти, які знаходилися на поточному рахунку в АТ «Мегабанк».</w:t>
      </w:r>
    </w:p>
    <w:p w:rsidR="00A123B9" w:rsidRPr="000F4905" w:rsidRDefault="00A123B9" w:rsidP="000F4905">
      <w:pPr>
        <w:pStyle w:val="af6"/>
        <w:widowControl w:val="0"/>
        <w:shd w:val="clear" w:color="auto" w:fill="FFFFFF"/>
        <w:spacing w:before="0" w:beforeAutospacing="0" w:after="0" w:afterAutospacing="0"/>
        <w:jc w:val="both"/>
        <w:rPr>
          <w:color w:val="000000"/>
          <w:lang w:val="uk-UA"/>
        </w:rPr>
      </w:pPr>
      <w:r w:rsidRPr="000F4905">
        <w:rPr>
          <w:shd w:val="clear" w:color="auto" w:fill="FFFFFF"/>
          <w:lang w:val="uk-UA"/>
        </w:rPr>
        <w:t>АТ "МЕГАБАНК” віднесений до категорії неплатоспроможних </w:t>
      </w:r>
      <w:hyperlink r:id="rId6" w:history="1">
        <w:r w:rsidRPr="000F4905">
          <w:rPr>
            <w:shd w:val="clear" w:color="auto" w:fill="FFFFFF"/>
            <w:lang w:val="uk-UA"/>
          </w:rPr>
          <w:t>рішенням Правління Національного банку від  02 червня 2022 року № 261-рш/БТ</w:t>
        </w:r>
      </w:hyperlink>
      <w:r w:rsidRPr="000F4905">
        <w:rPr>
          <w:color w:val="000000"/>
          <w:shd w:val="clear" w:color="auto" w:fill="FFFFFF"/>
          <w:lang w:val="uk-UA"/>
        </w:rPr>
        <w:t xml:space="preserve">. </w:t>
      </w:r>
      <w:r w:rsidRPr="000F4905">
        <w:rPr>
          <w:color w:val="000000"/>
          <w:lang w:val="uk-UA"/>
        </w:rPr>
        <w:t>Після того, як НБУ запроваджує тимчасову адміністрацію в банку, рух грошових коштів на рахунках клієнта обмежується. При цьому є вірогідність того, що</w:t>
      </w:r>
      <w:r w:rsidR="00A36A1A" w:rsidRPr="00A36A1A">
        <w:rPr>
          <w:color w:val="000000"/>
          <w:lang w:val="uk-UA"/>
        </w:rPr>
        <w:t xml:space="preserve"> </w:t>
      </w:r>
      <w:r w:rsidRPr="000F4905">
        <w:rPr>
          <w:color w:val="000000"/>
          <w:lang w:val="uk-UA"/>
        </w:rPr>
        <w:t>такі</w:t>
      </w:r>
      <w:r w:rsidR="00A36A1A" w:rsidRPr="00A36A1A">
        <w:rPr>
          <w:color w:val="000000"/>
          <w:lang w:val="uk-UA"/>
        </w:rPr>
        <w:t xml:space="preserve"> </w:t>
      </w:r>
      <w:r w:rsidRPr="000F4905">
        <w:rPr>
          <w:color w:val="000000"/>
          <w:lang w:val="uk-UA"/>
        </w:rPr>
        <w:t>грошові</w:t>
      </w:r>
      <w:r w:rsidR="00A36A1A" w:rsidRPr="00A36A1A">
        <w:rPr>
          <w:color w:val="000000"/>
          <w:lang w:val="uk-UA"/>
        </w:rPr>
        <w:t xml:space="preserve"> </w:t>
      </w:r>
      <w:r w:rsidRPr="000F4905">
        <w:rPr>
          <w:color w:val="000000"/>
          <w:lang w:val="uk-UA"/>
        </w:rPr>
        <w:t>кошти</w:t>
      </w:r>
      <w:r w:rsidR="00A36A1A" w:rsidRPr="00A36A1A">
        <w:rPr>
          <w:color w:val="000000"/>
          <w:lang w:val="uk-UA"/>
        </w:rPr>
        <w:t xml:space="preserve"> </w:t>
      </w:r>
      <w:r w:rsidRPr="000F4905">
        <w:rPr>
          <w:color w:val="000000"/>
          <w:lang w:val="uk-UA"/>
        </w:rPr>
        <w:t>взагалі не будуть</w:t>
      </w:r>
      <w:r w:rsidR="00A36A1A" w:rsidRPr="00A36A1A">
        <w:rPr>
          <w:color w:val="000000"/>
        </w:rPr>
        <w:t xml:space="preserve"> </w:t>
      </w:r>
      <w:r w:rsidRPr="000F4905">
        <w:rPr>
          <w:color w:val="000000"/>
          <w:lang w:val="uk-UA"/>
        </w:rPr>
        <w:t>повернені.</w:t>
      </w:r>
    </w:p>
    <w:p w:rsidR="00A123B9" w:rsidRPr="000F4905" w:rsidRDefault="00A123B9" w:rsidP="000F4905">
      <w:pPr>
        <w:widowControl w:val="0"/>
        <w:shd w:val="clear" w:color="auto" w:fill="FFFFFF"/>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На підставі цього сформовано професійне судження про те, що є невпевненість у поверненні грошових коштів банком. Грошові кошти класифіковані як сумнівна заборгованість і під них у 2022 році сформований резерв 1 тис. грн.</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аналізує дебіторську заборгованість на предмет знецінення, шляхом створення резерву сумнівної заборгованості, на регулярній основі.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 Під дебіторську заборгованість, класифіковану як сумнівна заборгованість, сформований резерв 2 тис. грн.</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До складу іншої дебіторської заборгованості включені надана позика, передплачені витрати з обслуговування програмного забезпечення, інформаційної підтримки, обслуговування основних засобів.</w:t>
      </w:r>
    </w:p>
    <w:p w:rsidR="00A123B9" w:rsidRPr="000F4905" w:rsidRDefault="00A123B9" w:rsidP="000F4905">
      <w:pPr>
        <w:widowControl w:val="0"/>
        <w:spacing w:after="0" w:line="240" w:lineRule="auto"/>
        <w:jc w:val="both"/>
        <w:rPr>
          <w:rFonts w:ascii="Times New Roman" w:eastAsiaTheme="minorHAnsi" w:hAnsi="Times New Roman" w:cs="Times New Roman"/>
          <w:sz w:val="24"/>
          <w:szCs w:val="24"/>
          <w:lang w:eastAsia="en-US"/>
        </w:rPr>
      </w:pPr>
      <w:r w:rsidRPr="000F4905">
        <w:rPr>
          <w:rFonts w:ascii="Times New Roman" w:eastAsiaTheme="minorHAnsi" w:hAnsi="Times New Roman" w:cs="Times New Roman"/>
          <w:sz w:val="24"/>
          <w:szCs w:val="24"/>
          <w:lang w:eastAsia="en-US"/>
        </w:rPr>
        <w:t xml:space="preserve">У звітному періоді відповідно до рішення правління ПрАТ «СГУ» на засідання якого були запрошені також акціонери ПрАТ «СГУ» (100% власників акцій ПрАТ «СГУ», Протокол правління № 2/23 від 10 травня 2023р.)) працівнику ПрАТ «СГУ» Гладуш Яніні Вікторовні  у зв’язку із особистими обставинами була надана позика в сумі 2 120 360 (два мільйона сто </w:t>
      </w:r>
      <w:r w:rsidRPr="000F4905">
        <w:rPr>
          <w:rFonts w:ascii="Times New Roman" w:eastAsiaTheme="minorHAnsi" w:hAnsi="Times New Roman" w:cs="Times New Roman"/>
          <w:sz w:val="24"/>
          <w:szCs w:val="24"/>
          <w:lang w:eastAsia="en-US"/>
        </w:rPr>
        <w:lastRenderedPageBreak/>
        <w:t>двадцять тисяч триста шістдесят) гривень 00 коп. (Договір позики № П-1/23 від 11.05.2023р.). Строк повернення позики – до 04 травня 2024.  Договір позики передбачає можливість дострокового повернення позики у будь-який момент. За користування позикою проценти (ст. 1048 ЦК України) не сплачуються</w:t>
      </w:r>
    </w:p>
    <w:p w:rsidR="00A123B9" w:rsidRPr="000F4905" w:rsidRDefault="00A123B9" w:rsidP="000F4905">
      <w:pPr>
        <w:widowControl w:val="0"/>
        <w:spacing w:after="0" w:line="240" w:lineRule="auto"/>
        <w:jc w:val="both"/>
        <w:rPr>
          <w:rFonts w:ascii="Times New Roman" w:eastAsiaTheme="minorHAnsi" w:hAnsi="Times New Roman" w:cs="Times New Roman"/>
          <w:sz w:val="24"/>
          <w:szCs w:val="24"/>
          <w:lang w:eastAsia="en-US"/>
        </w:rPr>
      </w:pPr>
      <w:r w:rsidRPr="000F4905">
        <w:rPr>
          <w:rFonts w:ascii="Times New Roman" w:eastAsiaTheme="minorHAnsi" w:hAnsi="Times New Roman" w:cs="Times New Roman"/>
          <w:sz w:val="24"/>
          <w:szCs w:val="24"/>
          <w:lang w:eastAsia="en-US"/>
        </w:rPr>
        <w:t>Відповідно до МСФЗ 9 «Фінансові інструменти», на дату визнання позика відображена в обліку за справедливою вартістю, внаслідок чого було визнано витрати в сумі 559 тис. грн. Станом на 30.09.2023 р. також визнано дохід від амортизації дисконту загальною сумою 201 тис. грн.</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Зміни резерву</w:t>
      </w:r>
      <w:r w:rsidR="00A36A1A" w:rsidRPr="00A36A1A">
        <w:rPr>
          <w:rFonts w:ascii="Times New Roman" w:hAnsi="Times New Roman" w:cs="Times New Roman"/>
          <w:b/>
          <w:i/>
          <w:sz w:val="24"/>
          <w:szCs w:val="24"/>
          <w:lang w:val="ru-RU"/>
        </w:rPr>
        <w:t xml:space="preserve"> </w:t>
      </w:r>
      <w:r w:rsidRPr="000F4905">
        <w:rPr>
          <w:rFonts w:ascii="Times New Roman" w:hAnsi="Times New Roman" w:cs="Times New Roman"/>
          <w:b/>
          <w:i/>
          <w:sz w:val="24"/>
          <w:szCs w:val="24"/>
        </w:rPr>
        <w:t>очікуваних кредитних збитків (знецінення)представлені таким чином:</w:t>
      </w:r>
    </w:p>
    <w:tbl>
      <w:tblPr>
        <w:tblW w:w="9781" w:type="dxa"/>
        <w:tblInd w:w="108" w:type="dxa"/>
        <w:tblLook w:val="04A0"/>
      </w:tblPr>
      <w:tblGrid>
        <w:gridCol w:w="6644"/>
        <w:gridCol w:w="1296"/>
        <w:gridCol w:w="1841"/>
      </w:tblGrid>
      <w:tr w:rsidR="00A123B9" w:rsidRPr="000F4905" w:rsidTr="00A123B9">
        <w:trPr>
          <w:trHeight w:val="312"/>
        </w:trPr>
        <w:tc>
          <w:tcPr>
            <w:tcW w:w="6663"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275"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843"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i/>
                <w:iCs/>
                <w:sz w:val="24"/>
                <w:szCs w:val="24"/>
              </w:rPr>
            </w:pPr>
            <w:r w:rsidRPr="000F4905">
              <w:rPr>
                <w:rFonts w:ascii="Times New Roman" w:hAnsi="Times New Roman" w:cs="Times New Roman"/>
                <w:b/>
                <w:bCs/>
                <w:i/>
                <w:iCs/>
                <w:sz w:val="24"/>
                <w:szCs w:val="24"/>
              </w:rPr>
              <w:t>Інша дебіторська заборгованість</w:t>
            </w:r>
          </w:p>
        </w:tc>
        <w:tc>
          <w:tcPr>
            <w:tcW w:w="127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rPr>
                <w:rFonts w:ascii="Times New Roman" w:hAnsi="Times New Roman" w:cs="Times New Roman"/>
                <w:b/>
                <w:bCs/>
                <w:i/>
                <w:iCs/>
                <w:sz w:val="24"/>
                <w:szCs w:val="24"/>
                <w:highlight w:val="yellow"/>
              </w:rPr>
            </w:pPr>
          </w:p>
        </w:tc>
        <w:tc>
          <w:tcPr>
            <w:tcW w:w="184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i/>
                <w:iCs/>
                <w:sz w:val="24"/>
                <w:szCs w:val="24"/>
              </w:rPr>
            </w:pPr>
          </w:p>
        </w:tc>
      </w:tr>
      <w:tr w:rsidR="00A123B9" w:rsidRPr="000F4905" w:rsidTr="00A123B9">
        <w:trPr>
          <w:trHeight w:val="300"/>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xml:space="preserve">Станом на початок року </w:t>
            </w:r>
          </w:p>
        </w:tc>
        <w:tc>
          <w:tcPr>
            <w:tcW w:w="127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c>
          <w:tcPr>
            <w:tcW w:w="184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w:t>
            </w:r>
          </w:p>
        </w:tc>
      </w:tr>
      <w:tr w:rsidR="00A123B9" w:rsidRPr="000F4905" w:rsidTr="00A123B9">
        <w:trPr>
          <w:trHeight w:val="300"/>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Нарахування резерву </w:t>
            </w:r>
          </w:p>
        </w:tc>
        <w:tc>
          <w:tcPr>
            <w:tcW w:w="127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84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r>
      <w:tr w:rsidR="00A123B9" w:rsidRPr="000F4905" w:rsidTr="00A123B9">
        <w:trPr>
          <w:trHeight w:val="300"/>
        </w:trPr>
        <w:tc>
          <w:tcPr>
            <w:tcW w:w="6663"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Використання резерву</w:t>
            </w:r>
          </w:p>
        </w:tc>
        <w:tc>
          <w:tcPr>
            <w:tcW w:w="1275"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843"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00"/>
        </w:trPr>
        <w:tc>
          <w:tcPr>
            <w:tcW w:w="6663"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 xml:space="preserve">Станом на кінець року </w:t>
            </w:r>
          </w:p>
        </w:tc>
        <w:tc>
          <w:tcPr>
            <w:tcW w:w="1275"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w:t>
            </w:r>
          </w:p>
        </w:tc>
        <w:tc>
          <w:tcPr>
            <w:tcW w:w="1843"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5.6 Грошові кошти та їх еквіваленти(р. 1165)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Грошові кошти</w:t>
      </w:r>
      <w:r w:rsidR="00A36A1A" w:rsidRPr="00A36A1A">
        <w:rPr>
          <w:rFonts w:ascii="Times New Roman" w:hAnsi="Times New Roman" w:cs="Times New Roman"/>
          <w:sz w:val="24"/>
          <w:szCs w:val="24"/>
          <w:lang w:val="ru-RU"/>
        </w:rPr>
        <w:t xml:space="preserve"> </w:t>
      </w:r>
      <w:r w:rsidRPr="000F4905">
        <w:rPr>
          <w:rFonts w:ascii="Times New Roman" w:hAnsi="Times New Roman" w:cs="Times New Roman"/>
          <w:sz w:val="24"/>
          <w:szCs w:val="24"/>
        </w:rPr>
        <w:t>у перерахунку в національну валюту представлені наступним чином:</w:t>
      </w:r>
    </w:p>
    <w:tbl>
      <w:tblPr>
        <w:tblW w:w="9781" w:type="dxa"/>
        <w:tblInd w:w="108" w:type="dxa"/>
        <w:tblLook w:val="04A0"/>
      </w:tblPr>
      <w:tblGrid>
        <w:gridCol w:w="6663"/>
        <w:gridCol w:w="1296"/>
        <w:gridCol w:w="1858"/>
      </w:tblGrid>
      <w:tr w:rsidR="00A123B9" w:rsidRPr="000F4905" w:rsidTr="00A123B9">
        <w:trPr>
          <w:trHeight w:val="312"/>
          <w:tblHeader/>
        </w:trPr>
        <w:tc>
          <w:tcPr>
            <w:tcW w:w="6663"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26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85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00"/>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Кошти в банках та касі в національній валюті </w:t>
            </w:r>
          </w:p>
        </w:tc>
        <w:tc>
          <w:tcPr>
            <w:tcW w:w="126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1 613</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182</w:t>
            </w:r>
          </w:p>
        </w:tc>
      </w:tr>
      <w:tr w:rsidR="00A123B9" w:rsidRPr="000F4905" w:rsidTr="00A123B9">
        <w:trPr>
          <w:trHeight w:val="384"/>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Кошти в банках та касі  в іноземній валюті, в т.ч.:</w:t>
            </w:r>
          </w:p>
        </w:tc>
        <w:tc>
          <w:tcPr>
            <w:tcW w:w="126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18277</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14651</w:t>
            </w:r>
          </w:p>
        </w:tc>
      </w:tr>
      <w:tr w:rsidR="00A123B9" w:rsidRPr="000F4905" w:rsidTr="00A123B9">
        <w:trPr>
          <w:trHeight w:val="288"/>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i/>
                <w:iCs/>
                <w:sz w:val="24"/>
                <w:szCs w:val="24"/>
              </w:rPr>
            </w:pPr>
            <w:r w:rsidRPr="000F4905">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10566</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7538</w:t>
            </w:r>
          </w:p>
        </w:tc>
      </w:tr>
      <w:tr w:rsidR="00A123B9" w:rsidRPr="000F4905" w:rsidTr="00A123B9">
        <w:trPr>
          <w:trHeight w:val="288"/>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i/>
                <w:iCs/>
                <w:sz w:val="24"/>
                <w:szCs w:val="24"/>
              </w:rPr>
            </w:pPr>
            <w:r w:rsidRPr="000F4905">
              <w:rPr>
                <w:rFonts w:ascii="Times New Roman" w:hAnsi="Times New Roman" w:cs="Times New Roman"/>
                <w:i/>
                <w:iCs/>
                <w:sz w:val="24"/>
                <w:szCs w:val="24"/>
              </w:rPr>
              <w:t>EUR</w:t>
            </w:r>
          </w:p>
        </w:tc>
        <w:tc>
          <w:tcPr>
            <w:tcW w:w="126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7711</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7113</w:t>
            </w:r>
          </w:p>
        </w:tc>
      </w:tr>
      <w:tr w:rsidR="00A123B9" w:rsidRPr="000F4905" w:rsidTr="00A123B9">
        <w:trPr>
          <w:trHeight w:val="288"/>
        </w:trPr>
        <w:tc>
          <w:tcPr>
            <w:tcW w:w="666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i/>
                <w:iCs/>
                <w:sz w:val="24"/>
                <w:szCs w:val="24"/>
              </w:rPr>
            </w:pPr>
          </w:p>
        </w:tc>
        <w:tc>
          <w:tcPr>
            <w:tcW w:w="126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p>
        </w:tc>
        <w:tc>
          <w:tcPr>
            <w:tcW w:w="1858"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r>
      <w:tr w:rsidR="00A123B9" w:rsidRPr="000F4905" w:rsidTr="00A123B9">
        <w:trPr>
          <w:trHeight w:val="300"/>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Короткострокові депозити в національній валюті  </w:t>
            </w:r>
          </w:p>
        </w:tc>
        <w:tc>
          <w:tcPr>
            <w:tcW w:w="126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20000</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22400</w:t>
            </w:r>
          </w:p>
        </w:tc>
      </w:tr>
      <w:tr w:rsidR="00A123B9" w:rsidRPr="000F4905" w:rsidTr="00A123B9">
        <w:trPr>
          <w:trHeight w:val="348"/>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Короткострокові депозити в іноземній валюті, в .т.ч.:</w:t>
            </w:r>
          </w:p>
        </w:tc>
        <w:tc>
          <w:tcPr>
            <w:tcW w:w="126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8045</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12799</w:t>
            </w:r>
          </w:p>
        </w:tc>
      </w:tr>
      <w:tr w:rsidR="00A123B9" w:rsidRPr="000F4905" w:rsidTr="00A123B9">
        <w:trPr>
          <w:trHeight w:val="300"/>
        </w:trPr>
        <w:tc>
          <w:tcPr>
            <w:tcW w:w="6663"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i/>
                <w:iCs/>
                <w:sz w:val="24"/>
                <w:szCs w:val="24"/>
              </w:rPr>
            </w:pPr>
            <w:r w:rsidRPr="000F4905">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8045</w:t>
            </w:r>
          </w:p>
        </w:tc>
        <w:tc>
          <w:tcPr>
            <w:tcW w:w="185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12799</w:t>
            </w:r>
          </w:p>
        </w:tc>
      </w:tr>
      <w:tr w:rsidR="00A123B9" w:rsidRPr="000F4905" w:rsidTr="00A123B9">
        <w:trPr>
          <w:trHeight w:val="300"/>
        </w:trPr>
        <w:tc>
          <w:tcPr>
            <w:tcW w:w="6663"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i/>
                <w:iCs/>
                <w:sz w:val="24"/>
                <w:szCs w:val="24"/>
              </w:rPr>
            </w:pPr>
            <w:r w:rsidRPr="000F4905">
              <w:rPr>
                <w:rFonts w:ascii="Times New Roman" w:hAnsi="Times New Roman" w:cs="Times New Roman"/>
                <w:i/>
                <w:iCs/>
                <w:sz w:val="24"/>
                <w:szCs w:val="24"/>
              </w:rPr>
              <w:t>EUR</w:t>
            </w:r>
          </w:p>
        </w:tc>
        <w:tc>
          <w:tcPr>
            <w:tcW w:w="126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w:t>
            </w:r>
          </w:p>
        </w:tc>
        <w:tc>
          <w:tcPr>
            <w:tcW w:w="1858"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i/>
                <w:iCs/>
                <w:sz w:val="24"/>
                <w:szCs w:val="24"/>
              </w:rPr>
            </w:pPr>
            <w:r w:rsidRPr="000F4905">
              <w:rPr>
                <w:rFonts w:ascii="Times New Roman" w:hAnsi="Times New Roman" w:cs="Times New Roman"/>
                <w:i/>
                <w:iCs/>
                <w:sz w:val="24"/>
                <w:szCs w:val="24"/>
              </w:rPr>
              <w:t>-</w:t>
            </w:r>
          </w:p>
        </w:tc>
      </w:tr>
      <w:tr w:rsidR="00A123B9" w:rsidRPr="000F4905" w:rsidTr="00A123B9">
        <w:trPr>
          <w:trHeight w:val="300"/>
        </w:trPr>
        <w:tc>
          <w:tcPr>
            <w:tcW w:w="6663"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260"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47935</w:t>
            </w:r>
          </w:p>
        </w:tc>
        <w:tc>
          <w:tcPr>
            <w:tcW w:w="1858"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50032</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Концентрація грошових коштів в банківських установах:</w:t>
      </w:r>
    </w:p>
    <w:tbl>
      <w:tblPr>
        <w:tblW w:w="9781" w:type="dxa"/>
        <w:tblInd w:w="108" w:type="dxa"/>
        <w:tblLook w:val="04A0"/>
      </w:tblPr>
      <w:tblGrid>
        <w:gridCol w:w="6915"/>
        <w:gridCol w:w="1296"/>
        <w:gridCol w:w="1570"/>
      </w:tblGrid>
      <w:tr w:rsidR="00A123B9" w:rsidRPr="000F4905" w:rsidTr="00A123B9">
        <w:trPr>
          <w:trHeight w:val="312"/>
        </w:trPr>
        <w:tc>
          <w:tcPr>
            <w:tcW w:w="6915"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sz w:val="24"/>
                <w:szCs w:val="24"/>
              </w:rPr>
              <w:t> </w:t>
            </w:r>
            <w:r w:rsidRPr="000F4905">
              <w:rPr>
                <w:rFonts w:ascii="Times New Roman" w:hAnsi="Times New Roman" w:cs="Times New Roman"/>
                <w:b/>
                <w:sz w:val="24"/>
                <w:szCs w:val="24"/>
              </w:rPr>
              <w:t>Рейтинги</w:t>
            </w:r>
          </w:p>
        </w:tc>
        <w:tc>
          <w:tcPr>
            <w:tcW w:w="1296"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57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00"/>
        </w:trPr>
        <w:tc>
          <w:tcPr>
            <w:tcW w:w="6915"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«Райффайзен Банк»                                ААА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w:t>
            </w:r>
          </w:p>
        </w:tc>
        <w:tc>
          <w:tcPr>
            <w:tcW w:w="157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r>
      <w:tr w:rsidR="00A123B9" w:rsidRPr="000F4905" w:rsidTr="00A123B9">
        <w:trPr>
          <w:trHeight w:val="300"/>
        </w:trPr>
        <w:tc>
          <w:tcPr>
            <w:tcW w:w="6915"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«Укрексімбанк»                                         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13108</w:t>
            </w:r>
          </w:p>
        </w:tc>
        <w:tc>
          <w:tcPr>
            <w:tcW w:w="157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17233</w:t>
            </w:r>
          </w:p>
        </w:tc>
      </w:tr>
      <w:tr w:rsidR="00A123B9" w:rsidRPr="000F4905" w:rsidTr="00A123B9">
        <w:trPr>
          <w:trHeight w:val="300"/>
        </w:trPr>
        <w:tc>
          <w:tcPr>
            <w:tcW w:w="6915"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«Кредобанк»                                            ААА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8031</w:t>
            </w:r>
          </w:p>
        </w:tc>
        <w:tc>
          <w:tcPr>
            <w:tcW w:w="157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6 527</w:t>
            </w:r>
          </w:p>
        </w:tc>
      </w:tr>
      <w:tr w:rsidR="00A123B9" w:rsidRPr="000F4905" w:rsidTr="00A123B9">
        <w:trPr>
          <w:trHeight w:val="300"/>
        </w:trPr>
        <w:tc>
          <w:tcPr>
            <w:tcW w:w="6915"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«ПроКредитБанк»                                  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5626</w:t>
            </w:r>
          </w:p>
        </w:tc>
        <w:tc>
          <w:tcPr>
            <w:tcW w:w="157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7148</w:t>
            </w:r>
          </w:p>
        </w:tc>
      </w:tr>
      <w:tr w:rsidR="00A123B9" w:rsidRPr="000F4905" w:rsidTr="00A123B9">
        <w:trPr>
          <w:trHeight w:val="300"/>
        </w:trPr>
        <w:tc>
          <w:tcPr>
            <w:tcW w:w="6915"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ПАТ АБ «Укргазбанк»                                    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17 709</w:t>
            </w:r>
          </w:p>
        </w:tc>
        <w:tc>
          <w:tcPr>
            <w:tcW w:w="157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18580</w:t>
            </w:r>
          </w:p>
        </w:tc>
      </w:tr>
      <w:tr w:rsidR="00A123B9" w:rsidRPr="000F4905" w:rsidTr="00A123B9">
        <w:trPr>
          <w:trHeight w:val="300"/>
        </w:trPr>
        <w:tc>
          <w:tcPr>
            <w:tcW w:w="691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КБ «Приватбанк»                                       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w:t>
            </w:r>
          </w:p>
        </w:tc>
        <w:tc>
          <w:tcPr>
            <w:tcW w:w="157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14</w:t>
            </w:r>
          </w:p>
        </w:tc>
      </w:tr>
      <w:tr w:rsidR="00A123B9" w:rsidRPr="000F4905" w:rsidTr="00A123B9">
        <w:trPr>
          <w:trHeight w:val="300"/>
        </w:trPr>
        <w:tc>
          <w:tcPr>
            <w:tcW w:w="691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АТ «Ощадбанк»                                               АА</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3428</w:t>
            </w:r>
          </w:p>
        </w:tc>
        <w:tc>
          <w:tcPr>
            <w:tcW w:w="157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510</w:t>
            </w:r>
          </w:p>
        </w:tc>
      </w:tr>
      <w:tr w:rsidR="00A123B9" w:rsidRPr="000F4905" w:rsidTr="00A123B9">
        <w:trPr>
          <w:trHeight w:val="300"/>
        </w:trPr>
        <w:tc>
          <w:tcPr>
            <w:tcW w:w="6915"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47935</w:t>
            </w:r>
          </w:p>
        </w:tc>
        <w:tc>
          <w:tcPr>
            <w:tcW w:w="1570"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50032</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Управлінський персонал оцінює зменшення корисності депозитів в банках, грошей та їх еквівалентів, визначаючи ймовірність відшкодування їх вартості на основі детального аналізу банків.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30</w:t>
      </w:r>
      <w:r w:rsidR="00A36A1A" w:rsidRPr="00A36A1A">
        <w:rPr>
          <w:rFonts w:ascii="Times New Roman" w:hAnsi="Times New Roman" w:cs="Times New Roman"/>
          <w:sz w:val="24"/>
          <w:szCs w:val="24"/>
        </w:rPr>
        <w:t xml:space="preserve"> </w:t>
      </w:r>
      <w:r w:rsidRPr="000F4905">
        <w:rPr>
          <w:rFonts w:ascii="Times New Roman" w:hAnsi="Times New Roman" w:cs="Times New Roman"/>
          <w:sz w:val="24"/>
          <w:szCs w:val="24"/>
        </w:rPr>
        <w:t>вересня 2023 року управлінський персонал не ідентифікував ознак знецінення грошових коштів та їх еквівалентів та депозитів в банках і не визнав додаткові резерви на покриття збитків від знецінення залишків.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Депозити за строками погашення узагальнено таким чином:</w:t>
      </w:r>
    </w:p>
    <w:tbl>
      <w:tblPr>
        <w:tblW w:w="9898" w:type="dxa"/>
        <w:tblInd w:w="108" w:type="dxa"/>
        <w:tblLook w:val="04A0"/>
      </w:tblPr>
      <w:tblGrid>
        <w:gridCol w:w="4678"/>
        <w:gridCol w:w="1260"/>
        <w:gridCol w:w="1440"/>
        <w:gridCol w:w="1440"/>
        <w:gridCol w:w="1080"/>
      </w:tblGrid>
      <w:tr w:rsidR="00A123B9" w:rsidRPr="000F4905" w:rsidTr="00A123B9">
        <w:trPr>
          <w:trHeight w:val="612"/>
        </w:trPr>
        <w:tc>
          <w:tcPr>
            <w:tcW w:w="467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lastRenderedPageBreak/>
              <w:t> </w:t>
            </w:r>
          </w:p>
        </w:tc>
        <w:tc>
          <w:tcPr>
            <w:tcW w:w="126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до3 місяців</w:t>
            </w:r>
          </w:p>
        </w:tc>
        <w:tc>
          <w:tcPr>
            <w:tcW w:w="144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від 3 місяців до1 року</w:t>
            </w:r>
          </w:p>
        </w:tc>
        <w:tc>
          <w:tcPr>
            <w:tcW w:w="144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від 1 до 3 років</w:t>
            </w:r>
          </w:p>
        </w:tc>
        <w:tc>
          <w:tcPr>
            <w:tcW w:w="10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r>
      <w:tr w:rsidR="00A123B9" w:rsidRPr="000F4905" w:rsidTr="00A123B9">
        <w:trPr>
          <w:trHeight w:val="300"/>
        </w:trPr>
        <w:tc>
          <w:tcPr>
            <w:tcW w:w="4678"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30.09.2023</w:t>
            </w:r>
          </w:p>
        </w:tc>
        <w:tc>
          <w:tcPr>
            <w:tcW w:w="126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r>
      <w:tr w:rsidR="00A123B9" w:rsidRPr="000F4905" w:rsidTr="00A123B9">
        <w:trPr>
          <w:trHeight w:val="360"/>
        </w:trPr>
        <w:tc>
          <w:tcPr>
            <w:tcW w:w="4678"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Депозити в банках у національній валюті (UAH)</w:t>
            </w:r>
          </w:p>
        </w:tc>
        <w:tc>
          <w:tcPr>
            <w:tcW w:w="126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200000</w:t>
            </w:r>
          </w:p>
        </w:tc>
        <w:tc>
          <w:tcPr>
            <w:tcW w:w="144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4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20000</w:t>
            </w:r>
          </w:p>
        </w:tc>
      </w:tr>
      <w:tr w:rsidR="00A123B9" w:rsidRPr="000F4905" w:rsidTr="00A123B9">
        <w:trPr>
          <w:trHeight w:val="360"/>
        </w:trPr>
        <w:tc>
          <w:tcPr>
            <w:tcW w:w="4678"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8045</w:t>
            </w:r>
          </w:p>
        </w:tc>
        <w:tc>
          <w:tcPr>
            <w:tcW w:w="144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4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8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8045</w:t>
            </w:r>
          </w:p>
        </w:tc>
      </w:tr>
      <w:tr w:rsidR="00A123B9" w:rsidRPr="000F4905" w:rsidTr="00A123B9">
        <w:trPr>
          <w:trHeight w:val="360"/>
        </w:trPr>
        <w:tc>
          <w:tcPr>
            <w:tcW w:w="4678"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2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r>
      <w:tr w:rsidR="00A123B9" w:rsidRPr="000F4905" w:rsidTr="00A123B9">
        <w:trPr>
          <w:trHeight w:val="360"/>
        </w:trPr>
        <w:tc>
          <w:tcPr>
            <w:tcW w:w="4678"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30.09.2022</w:t>
            </w:r>
          </w:p>
        </w:tc>
        <w:tc>
          <w:tcPr>
            <w:tcW w:w="12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r>
      <w:tr w:rsidR="00A123B9" w:rsidRPr="000F4905" w:rsidTr="00A123B9">
        <w:trPr>
          <w:trHeight w:val="360"/>
        </w:trPr>
        <w:tc>
          <w:tcPr>
            <w:tcW w:w="4678"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Депозити в банках у національній валюті (UAH)</w:t>
            </w:r>
          </w:p>
        </w:tc>
        <w:tc>
          <w:tcPr>
            <w:tcW w:w="12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22400</w:t>
            </w: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4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8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22400</w:t>
            </w:r>
          </w:p>
        </w:tc>
      </w:tr>
      <w:tr w:rsidR="00A123B9" w:rsidRPr="000F4905" w:rsidTr="00A123B9">
        <w:trPr>
          <w:trHeight w:val="360"/>
        </w:trPr>
        <w:tc>
          <w:tcPr>
            <w:tcW w:w="4678"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12799</w:t>
            </w:r>
          </w:p>
        </w:tc>
        <w:tc>
          <w:tcPr>
            <w:tcW w:w="144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4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08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12799</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Процентні ставки за дев’ять місяців2023 року за депозитами складають від 0,1% до 17,5%, а за аналогічний період 2022 року - від 0,4% до 13,0% в залежності від</w:t>
      </w:r>
      <w:r w:rsidR="00A36A1A" w:rsidRPr="00A36A1A">
        <w:rPr>
          <w:rFonts w:ascii="Times New Roman" w:hAnsi="Times New Roman" w:cs="Times New Roman"/>
          <w:sz w:val="24"/>
          <w:szCs w:val="24"/>
          <w:lang w:val="ru-RU"/>
        </w:rPr>
        <w:t xml:space="preserve"> </w:t>
      </w:r>
      <w:r w:rsidRPr="000F4905">
        <w:rPr>
          <w:rFonts w:ascii="Times New Roman" w:hAnsi="Times New Roman" w:cs="Times New Roman"/>
          <w:sz w:val="24"/>
          <w:szCs w:val="24"/>
        </w:rPr>
        <w:t>суми та валюти договорів та строку розміщення.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Грошові кошти та їх еквіваленти розміщені в банках, які мають кредитний рейтинг не нижче ніж «АА» за національною рейтинговою шкалою. </w:t>
      </w:r>
    </w:p>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5.7   Власний капітал (рр. 1400 -1425)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На 30вересня 2023 року статутний капітал Компанії зареєстрований і повністю сплачений. Статутний капітал складається з 10 000 простих іменних акцій номінальною вартістю 1200 грн. за акцію, що становить 12 000 тис. грн. (12 000 тис. грн. на 30</w:t>
      </w:r>
      <w:r w:rsidR="00A36A1A"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вересня 2022 р.). Засновниками</w:t>
      </w:r>
      <w:r w:rsidR="00A36A1A"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Компанії є фізичні особи, зареєстровані на території України.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Випущені акції належали наступним акціонерам:</w:t>
      </w:r>
    </w:p>
    <w:tbl>
      <w:tblPr>
        <w:tblW w:w="0" w:type="auto"/>
        <w:tblLook w:val="04A0"/>
      </w:tblPr>
      <w:tblGrid>
        <w:gridCol w:w="4918"/>
        <w:gridCol w:w="1257"/>
        <w:gridCol w:w="1258"/>
        <w:gridCol w:w="1258"/>
        <w:gridCol w:w="1090"/>
      </w:tblGrid>
      <w:tr w:rsidR="00A123B9" w:rsidRPr="000F4905" w:rsidTr="00A123B9">
        <w:tc>
          <w:tcPr>
            <w:tcW w:w="4918" w:type="dxa"/>
            <w:vMerge w:val="restart"/>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2515" w:type="dxa"/>
            <w:gridSpan w:val="2"/>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30.09.2023</w:t>
            </w:r>
          </w:p>
        </w:tc>
        <w:tc>
          <w:tcPr>
            <w:tcW w:w="2348" w:type="dxa"/>
            <w:gridSpan w:val="2"/>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30.09.2022</w:t>
            </w:r>
          </w:p>
        </w:tc>
      </w:tr>
      <w:tr w:rsidR="00A123B9" w:rsidRPr="000F4905" w:rsidTr="00A123B9">
        <w:tc>
          <w:tcPr>
            <w:tcW w:w="4918" w:type="dxa"/>
            <w:vMerge/>
            <w:tcBorders>
              <w:bottom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257" w:type="dxa"/>
            <w:tcBorders>
              <w:bottom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тис. грн</w:t>
            </w:r>
          </w:p>
        </w:tc>
        <w:tc>
          <w:tcPr>
            <w:tcW w:w="1258" w:type="dxa"/>
            <w:tcBorders>
              <w:bottom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частка в СК</w:t>
            </w:r>
          </w:p>
        </w:tc>
        <w:tc>
          <w:tcPr>
            <w:tcW w:w="1258" w:type="dxa"/>
            <w:tcBorders>
              <w:bottom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тис. грн</w:t>
            </w:r>
          </w:p>
        </w:tc>
        <w:tc>
          <w:tcPr>
            <w:tcW w:w="1090" w:type="dxa"/>
            <w:tcBorders>
              <w:bottom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частка в СК</w:t>
            </w:r>
          </w:p>
        </w:tc>
      </w:tr>
      <w:tr w:rsidR="00A123B9" w:rsidRPr="000F4905" w:rsidTr="00A123B9">
        <w:tc>
          <w:tcPr>
            <w:tcW w:w="4918" w:type="dxa"/>
            <w:tcBorders>
              <w:top w:val="single" w:sz="4" w:space="0" w:color="auto"/>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Яцько</w:t>
            </w:r>
            <w:r w:rsidR="000F4905">
              <w:rPr>
                <w:rFonts w:ascii="Times New Roman" w:hAnsi="Times New Roman" w:cs="Times New Roman"/>
                <w:sz w:val="24"/>
                <w:szCs w:val="24"/>
                <w:lang w:val="en-US"/>
              </w:rPr>
              <w:t xml:space="preserve"> </w:t>
            </w:r>
            <w:r w:rsidRPr="000F4905">
              <w:rPr>
                <w:rFonts w:ascii="Times New Roman" w:hAnsi="Times New Roman" w:cs="Times New Roman"/>
                <w:sz w:val="24"/>
                <w:szCs w:val="24"/>
              </w:rPr>
              <w:t>Вячеслав</w:t>
            </w:r>
            <w:r w:rsidR="000F4905">
              <w:rPr>
                <w:rFonts w:ascii="Times New Roman" w:hAnsi="Times New Roman" w:cs="Times New Roman"/>
                <w:sz w:val="24"/>
                <w:szCs w:val="24"/>
                <w:lang w:val="en-US"/>
              </w:rPr>
              <w:t xml:space="preserve"> </w:t>
            </w:r>
            <w:r w:rsidRPr="000F4905">
              <w:rPr>
                <w:rFonts w:ascii="Times New Roman" w:hAnsi="Times New Roman" w:cs="Times New Roman"/>
                <w:sz w:val="24"/>
                <w:szCs w:val="24"/>
              </w:rPr>
              <w:t>Васильович</w:t>
            </w:r>
          </w:p>
        </w:tc>
        <w:tc>
          <w:tcPr>
            <w:tcW w:w="1257"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5 400</w:t>
            </w:r>
          </w:p>
        </w:tc>
        <w:tc>
          <w:tcPr>
            <w:tcW w:w="1258"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45%</w:t>
            </w:r>
          </w:p>
        </w:tc>
        <w:tc>
          <w:tcPr>
            <w:tcW w:w="1258"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5 400</w:t>
            </w:r>
          </w:p>
        </w:tc>
        <w:tc>
          <w:tcPr>
            <w:tcW w:w="1090"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45%</w:t>
            </w:r>
          </w:p>
        </w:tc>
      </w:tr>
      <w:tr w:rsidR="00A123B9" w:rsidRPr="000F4905" w:rsidTr="00A123B9">
        <w:tc>
          <w:tcPr>
            <w:tcW w:w="4918"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Гаманков Володимир Іванович</w:t>
            </w:r>
          </w:p>
        </w:tc>
        <w:tc>
          <w:tcPr>
            <w:tcW w:w="1257"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2 400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2 400</w:t>
            </w:r>
          </w:p>
        </w:tc>
        <w:tc>
          <w:tcPr>
            <w:tcW w:w="109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r>
      <w:tr w:rsidR="00A123B9" w:rsidRPr="000F4905" w:rsidTr="00A123B9">
        <w:tc>
          <w:tcPr>
            <w:tcW w:w="4918"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Гладуш Яніна Вікторівна</w:t>
            </w:r>
          </w:p>
        </w:tc>
        <w:tc>
          <w:tcPr>
            <w:tcW w:w="1257"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2 160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 xml:space="preserve">18%      </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2 160</w:t>
            </w:r>
          </w:p>
        </w:tc>
        <w:tc>
          <w:tcPr>
            <w:tcW w:w="109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 xml:space="preserve">18%      </w:t>
            </w:r>
          </w:p>
        </w:tc>
      </w:tr>
      <w:tr w:rsidR="00A123B9" w:rsidRPr="000F4905" w:rsidTr="00A123B9">
        <w:tc>
          <w:tcPr>
            <w:tcW w:w="4918"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Гусєва Ірина Олександрівна</w:t>
            </w:r>
          </w:p>
        </w:tc>
        <w:tc>
          <w:tcPr>
            <w:tcW w:w="1257"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1 200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1 200</w:t>
            </w:r>
          </w:p>
        </w:tc>
        <w:tc>
          <w:tcPr>
            <w:tcW w:w="109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r>
      <w:tr w:rsidR="00A123B9" w:rsidRPr="000F4905" w:rsidTr="00A123B9">
        <w:tc>
          <w:tcPr>
            <w:tcW w:w="4918"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фізичні особи з часткою до 10%</w:t>
            </w:r>
          </w:p>
        </w:tc>
        <w:tc>
          <w:tcPr>
            <w:tcW w:w="1257"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840</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w:t>
            </w:r>
          </w:p>
        </w:tc>
        <w:tc>
          <w:tcPr>
            <w:tcW w:w="1258"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840</w:t>
            </w:r>
          </w:p>
        </w:tc>
        <w:tc>
          <w:tcPr>
            <w:tcW w:w="109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w:t>
            </w:r>
          </w:p>
        </w:tc>
      </w:tr>
      <w:tr w:rsidR="00A123B9" w:rsidRPr="000F4905" w:rsidTr="00A123B9">
        <w:tc>
          <w:tcPr>
            <w:tcW w:w="4918" w:type="dxa"/>
            <w:tcBorders>
              <w:top w:val="single" w:sz="4" w:space="0" w:color="auto"/>
            </w:tcBorders>
            <w:shd w:val="clear" w:color="auto" w:fill="auto"/>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Всього</w:t>
            </w:r>
          </w:p>
        </w:tc>
        <w:tc>
          <w:tcPr>
            <w:tcW w:w="1257"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12 000</w:t>
            </w:r>
          </w:p>
        </w:tc>
        <w:tc>
          <w:tcPr>
            <w:tcW w:w="1258"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100%</w:t>
            </w:r>
          </w:p>
        </w:tc>
        <w:tc>
          <w:tcPr>
            <w:tcW w:w="1258"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12 000</w:t>
            </w:r>
          </w:p>
        </w:tc>
        <w:tc>
          <w:tcPr>
            <w:tcW w:w="1090"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100%</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Власники звичайних акцій мають право на одержання дивідендів у міру їх оголошення, а також мають право одного голосу на акцію на річних і позачергових загальних зборах акціонерів Компанії.</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 xml:space="preserve">Розмір дивідендів, що можуть бути виплачені, обмежуються сумою нерозподіленого прибутку Компанії, відображеного у даній звітності.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 звітному періоді дивіденди не розподілялися та не виплачувалися.</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формує резервний капітал у розмірі 25% статутного капіталу. Резервний капітал формується шляхом щорічних відрахувань від чистого прибутку або за рахунок нерозподіленого прибутку. До досягнення встановленого розміру резервного капіталу розмір щорічних відрахувань не може бути меншим ніж 5 відсотків чистого прибутку Компанії. На 30</w:t>
      </w:r>
      <w:r w:rsidR="000F4905"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вересня</w:t>
      </w:r>
      <w:r w:rsidR="000F4905"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2023 року резервний капітал сформований у повному обсязі і становить 3 000 тис. грн. (на 30</w:t>
      </w:r>
      <w:r w:rsidR="000F4905"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вересня 2022 року  - 3 000 тис. грн.).</w:t>
      </w:r>
    </w:p>
    <w:p w:rsidR="00A123B9" w:rsidRPr="000F4905" w:rsidRDefault="00A123B9" w:rsidP="000F4905">
      <w:pPr>
        <w:widowControl w:val="0"/>
        <w:spacing w:after="0" w:line="240" w:lineRule="auto"/>
        <w:jc w:val="both"/>
        <w:rPr>
          <w:rFonts w:ascii="Times New Roman" w:eastAsia="Calibri" w:hAnsi="Times New Roman" w:cs="Times New Roman"/>
          <w:sz w:val="24"/>
          <w:szCs w:val="24"/>
          <w:lang w:eastAsia="en-US"/>
        </w:rPr>
      </w:pPr>
      <w:r w:rsidRPr="000F4905">
        <w:rPr>
          <w:rFonts w:ascii="Times New Roman" w:hAnsi="Times New Roman" w:cs="Times New Roman"/>
          <w:sz w:val="24"/>
          <w:szCs w:val="24"/>
        </w:rPr>
        <w:t>До складу власного капіталу включено капітал у дооцінках</w:t>
      </w:r>
      <w:r w:rsidR="000F4905" w:rsidRPr="007E1CED">
        <w:rPr>
          <w:rFonts w:ascii="Times New Roman" w:hAnsi="Times New Roman" w:cs="Times New Roman"/>
          <w:sz w:val="24"/>
          <w:szCs w:val="24"/>
          <w:lang w:val="ru-RU"/>
        </w:rPr>
        <w:t xml:space="preserve"> </w:t>
      </w:r>
      <w:r w:rsidRPr="000F4905">
        <w:rPr>
          <w:rFonts w:ascii="Times New Roman" w:hAnsi="Times New Roman" w:cs="Times New Roman"/>
          <w:sz w:val="24"/>
          <w:szCs w:val="24"/>
        </w:rPr>
        <w:t xml:space="preserve">у сумі 5 551тис. грн. станом на 30.09.2023 р. (3 197тис. грн. на 30.09.2022 р.). </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lastRenderedPageBreak/>
        <w:t>У звітному</w:t>
      </w:r>
      <w:r w:rsidR="000F4905" w:rsidRPr="007E1CED">
        <w:rPr>
          <w:rFonts w:ascii="Times New Roman" w:hAnsi="Times New Roman" w:cs="Times New Roman"/>
          <w:sz w:val="24"/>
          <w:szCs w:val="24"/>
          <w:lang w:val="ru-RU" w:eastAsia="ru-RU"/>
        </w:rPr>
        <w:t xml:space="preserve"> </w:t>
      </w:r>
      <w:r w:rsidRPr="000F4905">
        <w:rPr>
          <w:rFonts w:ascii="Times New Roman" w:hAnsi="Times New Roman" w:cs="Times New Roman"/>
          <w:sz w:val="24"/>
          <w:szCs w:val="24"/>
          <w:lang w:eastAsia="ru-RU"/>
        </w:rPr>
        <w:t>періоді Товариством одержано збиток в сумі  1 975 тис. грн. (у звітному періоді 2022 року–прибуток</w:t>
      </w:r>
      <w:r w:rsidR="000F4905" w:rsidRPr="007E1CED">
        <w:rPr>
          <w:rFonts w:ascii="Times New Roman" w:hAnsi="Times New Roman" w:cs="Times New Roman"/>
          <w:sz w:val="24"/>
          <w:szCs w:val="24"/>
          <w:lang w:val="ru-RU" w:eastAsia="ru-RU"/>
        </w:rPr>
        <w:t xml:space="preserve"> </w:t>
      </w:r>
      <w:r w:rsidRPr="000F4905">
        <w:rPr>
          <w:rFonts w:ascii="Times New Roman" w:hAnsi="Times New Roman" w:cs="Times New Roman"/>
          <w:sz w:val="24"/>
          <w:szCs w:val="24"/>
          <w:lang w:eastAsia="ru-RU"/>
        </w:rPr>
        <w:t>259 тис. грн.)</w:t>
      </w:r>
    </w:p>
    <w:p w:rsidR="00A123B9" w:rsidRPr="000F4905" w:rsidRDefault="00A123B9" w:rsidP="000F4905">
      <w:pPr>
        <w:widowControl w:val="0"/>
        <w:spacing w:after="0" w:line="240" w:lineRule="auto"/>
        <w:jc w:val="both"/>
        <w:rPr>
          <w:rFonts w:ascii="Times New Roman" w:hAnsi="Times New Roman" w:cs="Times New Roman"/>
          <w:sz w:val="24"/>
          <w:szCs w:val="24"/>
          <w:lang w:eastAsia="ru-RU"/>
        </w:rPr>
      </w:pPr>
      <w:r w:rsidRPr="000F4905">
        <w:rPr>
          <w:rFonts w:ascii="Times New Roman" w:hAnsi="Times New Roman" w:cs="Times New Roman"/>
          <w:sz w:val="24"/>
          <w:szCs w:val="24"/>
          <w:lang w:eastAsia="ru-RU"/>
        </w:rPr>
        <w:t>Облік нерозподіленого прибутку здійснюється відповідно до чинного законодавства і на 30.09.2023 року його розмір складає 17620 тис грн. (на 30.09.2022 року – 19 269тис. грн.).</w:t>
      </w:r>
    </w:p>
    <w:p w:rsidR="00A123B9" w:rsidRPr="000F4905" w:rsidRDefault="00A123B9" w:rsidP="000F4905">
      <w:pPr>
        <w:pStyle w:val="af6"/>
        <w:widowControl w:val="0"/>
        <w:spacing w:before="0" w:beforeAutospacing="0" w:after="0" w:afterAutospacing="0"/>
        <w:jc w:val="both"/>
        <w:rPr>
          <w:lang w:val="uk-UA"/>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b/>
          <w:i/>
          <w:sz w:val="24"/>
          <w:szCs w:val="24"/>
        </w:rPr>
        <w:t>5.8 Страхові резерви (рр. 1180, 1530)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Страхові резерви узагальнено таким чином:</w:t>
      </w:r>
    </w:p>
    <w:tbl>
      <w:tblPr>
        <w:tblW w:w="9781" w:type="dxa"/>
        <w:tblInd w:w="108" w:type="dxa"/>
        <w:tblLook w:val="04A0"/>
      </w:tblPr>
      <w:tblGrid>
        <w:gridCol w:w="4678"/>
        <w:gridCol w:w="1252"/>
        <w:gridCol w:w="2124"/>
        <w:gridCol w:w="1727"/>
      </w:tblGrid>
      <w:tr w:rsidR="00A123B9" w:rsidRPr="000F4905" w:rsidTr="00A123B9">
        <w:trPr>
          <w:trHeight w:val="636"/>
        </w:trPr>
        <w:tc>
          <w:tcPr>
            <w:tcW w:w="4678" w:type="dxa"/>
            <w:tcBorders>
              <w:top w:val="nil"/>
              <w:left w:val="nil"/>
              <w:bottom w:val="single" w:sz="8" w:space="0" w:color="auto"/>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w:t>
            </w:r>
          </w:p>
        </w:tc>
        <w:tc>
          <w:tcPr>
            <w:tcW w:w="1252"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Загальна сума</w:t>
            </w:r>
          </w:p>
        </w:tc>
        <w:tc>
          <w:tcPr>
            <w:tcW w:w="2124"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Перестрахування</w:t>
            </w:r>
          </w:p>
        </w:tc>
        <w:tc>
          <w:tcPr>
            <w:tcW w:w="1727"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Чиста сума</w:t>
            </w:r>
          </w:p>
        </w:tc>
      </w:tr>
      <w:tr w:rsidR="00A123B9" w:rsidRPr="000F4905" w:rsidTr="00A123B9">
        <w:trPr>
          <w:trHeight w:val="300"/>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xml:space="preserve"> на 30вересня 2023 р. </w:t>
            </w:r>
          </w:p>
        </w:tc>
        <w:tc>
          <w:tcPr>
            <w:tcW w:w="1252"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19224</w:t>
            </w:r>
          </w:p>
        </w:tc>
        <w:tc>
          <w:tcPr>
            <w:tcW w:w="2124"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(697)</w:t>
            </w:r>
          </w:p>
        </w:tc>
        <w:tc>
          <w:tcPr>
            <w:tcW w:w="1727"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18 527</w:t>
            </w:r>
          </w:p>
        </w:tc>
      </w:tr>
      <w:tr w:rsidR="00A123B9" w:rsidRPr="000F4905" w:rsidTr="00A123B9">
        <w:trPr>
          <w:trHeight w:val="312"/>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незароблених премій (РНП)</w:t>
            </w:r>
          </w:p>
        </w:tc>
        <w:tc>
          <w:tcPr>
            <w:tcW w:w="1252"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1 333</w:t>
            </w:r>
          </w:p>
        </w:tc>
        <w:tc>
          <w:tcPr>
            <w:tcW w:w="2124"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(697)</w:t>
            </w:r>
          </w:p>
        </w:tc>
        <w:tc>
          <w:tcPr>
            <w:tcW w:w="1727"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636</w:t>
            </w:r>
          </w:p>
        </w:tc>
      </w:tr>
      <w:tr w:rsidR="00A123B9" w:rsidRPr="000F4905" w:rsidTr="00A123B9">
        <w:trPr>
          <w:trHeight w:val="312"/>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17 891</w:t>
            </w:r>
          </w:p>
        </w:tc>
        <w:tc>
          <w:tcPr>
            <w:tcW w:w="2124"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27"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17 891</w:t>
            </w:r>
          </w:p>
        </w:tc>
      </w:tr>
      <w:tr w:rsidR="00A123B9" w:rsidRPr="000F4905" w:rsidTr="00A123B9">
        <w:trPr>
          <w:trHeight w:val="312"/>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252"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2124"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727"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00"/>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xml:space="preserve"> на 30червня 2022 р. </w:t>
            </w:r>
          </w:p>
        </w:tc>
        <w:tc>
          <w:tcPr>
            <w:tcW w:w="1252"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18035</w:t>
            </w:r>
          </w:p>
        </w:tc>
        <w:tc>
          <w:tcPr>
            <w:tcW w:w="2124"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(31)</w:t>
            </w:r>
          </w:p>
        </w:tc>
        <w:tc>
          <w:tcPr>
            <w:tcW w:w="1727"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18004</w:t>
            </w:r>
          </w:p>
        </w:tc>
      </w:tr>
      <w:tr w:rsidR="00A123B9" w:rsidRPr="000F4905" w:rsidTr="00A123B9">
        <w:trPr>
          <w:trHeight w:val="312"/>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незароблених премій (РНП)</w:t>
            </w:r>
          </w:p>
        </w:tc>
        <w:tc>
          <w:tcPr>
            <w:tcW w:w="1252"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136</w:t>
            </w:r>
          </w:p>
        </w:tc>
        <w:tc>
          <w:tcPr>
            <w:tcW w:w="2124"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(31)</w:t>
            </w:r>
          </w:p>
        </w:tc>
        <w:tc>
          <w:tcPr>
            <w:tcW w:w="1727"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105</w:t>
            </w:r>
          </w:p>
        </w:tc>
      </w:tr>
      <w:tr w:rsidR="00A123B9" w:rsidRPr="000F4905" w:rsidTr="00A123B9">
        <w:trPr>
          <w:trHeight w:val="312"/>
        </w:trPr>
        <w:tc>
          <w:tcPr>
            <w:tcW w:w="4678"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highlight w:val="yellow"/>
              </w:rPr>
            </w:pPr>
            <w:r w:rsidRPr="000F4905">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17899</w:t>
            </w:r>
          </w:p>
        </w:tc>
        <w:tc>
          <w:tcPr>
            <w:tcW w:w="2124"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27"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17899</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Cтаном на 30вересня 2023 р. проведений тест адекватності страхових зобов’язань. Тест проводився до резерву заявлених, але невиплачених збитків,сформованого станом на звітну дату, без урахування перестрахування. Тестування проводиться за допомогою використання загальноприйнятих актуарних методів.  Тест показує достатність резервів збитку для покриття майбутніх грошових виплат.</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Згідно висновку актуарія, який має право займатися актуарними розрахунками з видів страхування, інших, ніж страхування життя, та посвідчувати їх, резерв незароблених премій, сформований на 30.09.2023 року є достатнім для покриття майбутніх страхових зобов’язань за діючим на звітну дату портфелем договорів страхування і формування додаткового резерву не потрібно.</w:t>
      </w:r>
    </w:p>
    <w:p w:rsidR="00A123B9" w:rsidRPr="000F4905" w:rsidRDefault="00A123B9" w:rsidP="000F4905">
      <w:pPr>
        <w:pStyle w:val="Default"/>
        <w:widowControl w:val="0"/>
        <w:jc w:val="both"/>
        <w:rPr>
          <w:rFonts w:ascii="Times New Roman" w:hAnsi="Times New Roman" w:cs="Times New Roman"/>
          <w:i/>
          <w:color w:val="auto"/>
          <w:lang w:val="uk-UA" w:eastAsia="uk-UA"/>
        </w:rPr>
      </w:pPr>
      <w:r w:rsidRPr="000F4905">
        <w:rPr>
          <w:rFonts w:ascii="Times New Roman" w:hAnsi="Times New Roman" w:cs="Times New Roman"/>
          <w:i/>
          <w:color w:val="auto"/>
          <w:lang w:val="uk-UA" w:eastAsia="uk-UA"/>
        </w:rPr>
        <w:t xml:space="preserve">Припущення та чутливість загального страхування </w:t>
      </w:r>
    </w:p>
    <w:p w:rsidR="00A123B9" w:rsidRPr="000F4905" w:rsidRDefault="00A123B9" w:rsidP="000F4905">
      <w:pPr>
        <w:pStyle w:val="Default"/>
        <w:widowControl w:val="0"/>
        <w:jc w:val="both"/>
        <w:rPr>
          <w:rFonts w:ascii="Times New Roman" w:hAnsi="Times New Roman" w:cs="Times New Roman"/>
          <w:i/>
          <w:color w:val="auto"/>
          <w:lang w:val="uk-UA" w:eastAsia="uk-UA"/>
        </w:rPr>
      </w:pPr>
      <w:r w:rsidRPr="000F4905">
        <w:rPr>
          <w:rFonts w:ascii="Times New Roman" w:hAnsi="Times New Roman" w:cs="Times New Roman"/>
          <w:i/>
          <w:color w:val="auto"/>
          <w:lang w:val="uk-UA" w:eastAsia="uk-UA"/>
        </w:rPr>
        <w:t xml:space="preserve">Процес формування припущень </w:t>
      </w:r>
    </w:p>
    <w:p w:rsidR="00A123B9" w:rsidRPr="000F4905" w:rsidRDefault="00A123B9" w:rsidP="000F4905">
      <w:pPr>
        <w:pStyle w:val="Default"/>
        <w:widowControl w:val="0"/>
        <w:jc w:val="both"/>
        <w:rPr>
          <w:rFonts w:ascii="Times New Roman" w:hAnsi="Times New Roman" w:cs="Times New Roman"/>
          <w:color w:val="auto"/>
          <w:lang w:val="uk-UA" w:eastAsia="uk-UA"/>
        </w:rPr>
      </w:pPr>
      <w:r w:rsidRPr="000F4905">
        <w:rPr>
          <w:rFonts w:ascii="Times New Roman" w:hAnsi="Times New Roman" w:cs="Times New Roman"/>
          <w:color w:val="auto"/>
          <w:lang w:val="uk-UA" w:eastAsia="uk-UA"/>
        </w:rPr>
        <w:t xml:space="preserve">Припущення, що використовуються при оцінці страхових активів та страхових зобов’язань, повинні забезпечувати створення резервів, достатніх для покриття будь-яких зобов’язань, що виникають у зв’язку із страховими контрактами, наскільки це можна передбачити. Однак, зважаючи на існування невизначеності при створенні резерву збитків, остаточний результат, ймовірно, відрізнятиметься від зобов’язання, що було визначене спочатку. </w:t>
      </w:r>
    </w:p>
    <w:p w:rsidR="00A123B9" w:rsidRPr="000F4905" w:rsidRDefault="00A123B9" w:rsidP="000F4905">
      <w:pPr>
        <w:pStyle w:val="Default"/>
        <w:widowControl w:val="0"/>
        <w:jc w:val="both"/>
        <w:rPr>
          <w:rFonts w:ascii="Times New Roman" w:hAnsi="Times New Roman" w:cs="Times New Roman"/>
          <w:color w:val="auto"/>
          <w:lang w:val="uk-UA" w:eastAsia="uk-UA"/>
        </w:rPr>
      </w:pPr>
      <w:r w:rsidRPr="000F4905">
        <w:rPr>
          <w:rFonts w:ascii="Times New Roman" w:hAnsi="Times New Roman" w:cs="Times New Roman"/>
          <w:color w:val="auto"/>
          <w:lang w:val="uk-UA" w:eastAsia="uk-UA"/>
        </w:rPr>
        <w:t xml:space="preserve">Резерв створюється на звітну дату на основі очікуваної суми остаточних витрат на відшкодування всіх збитків, понесених у зв’язку з страховими випадками, що сталися до цієї дати, незалежно від того, чи були вони заявлені, чи ні, разом з відповідними зовнішніми витратами на врегулювання збитків, за вирахуванням уже виплачених сум. Резерв по збитках не дисконтується на вартість грошових коштів у часі. Дані, що використовуються для формування припущень, як правило, отримані із внутрішніх джерел Компанії, зокрема, це можуть бути результати детальних досліджень, що проводяться щонайменше один раз на рік. Припущення перевіряються на предмет їх відповідності наявній ринковій інформації чи будь-якій іншій інформації із загальних джерел. </w:t>
      </w:r>
    </w:p>
    <w:p w:rsidR="00A123B9" w:rsidRPr="000F4905" w:rsidRDefault="00A123B9" w:rsidP="000F4905">
      <w:pPr>
        <w:widowControl w:val="0"/>
        <w:spacing w:after="0" w:line="240" w:lineRule="auto"/>
        <w:jc w:val="both"/>
        <w:rPr>
          <w:rFonts w:ascii="Times New Roman" w:hAnsi="Times New Roman" w:cs="Times New Roman"/>
          <w:bCs/>
          <w:iCs/>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5.9   Поточні зобов’язання(рр.1615 – 1650)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Страхова та інша кредиторська заборгованість представлена наступним чином:</w:t>
      </w:r>
    </w:p>
    <w:tbl>
      <w:tblPr>
        <w:tblW w:w="9796" w:type="dxa"/>
        <w:tblInd w:w="108" w:type="dxa"/>
        <w:tblLook w:val="04A0"/>
      </w:tblPr>
      <w:tblGrid>
        <w:gridCol w:w="6516"/>
        <w:gridCol w:w="1296"/>
        <w:gridCol w:w="1984"/>
      </w:tblGrid>
      <w:tr w:rsidR="00A123B9" w:rsidRPr="000F4905" w:rsidTr="00A123B9">
        <w:trPr>
          <w:trHeight w:val="324"/>
        </w:trPr>
        <w:tc>
          <w:tcPr>
            <w:tcW w:w="6516"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296"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984"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24"/>
        </w:trPr>
        <w:tc>
          <w:tcPr>
            <w:tcW w:w="6516"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i/>
                <w:iCs/>
                <w:sz w:val="24"/>
                <w:szCs w:val="24"/>
              </w:rPr>
            </w:pPr>
            <w:r w:rsidRPr="000F4905">
              <w:rPr>
                <w:rFonts w:ascii="Times New Roman" w:hAnsi="Times New Roman" w:cs="Times New Roman"/>
                <w:b/>
                <w:bCs/>
                <w:i/>
                <w:iCs/>
                <w:sz w:val="24"/>
                <w:szCs w:val="24"/>
              </w:rPr>
              <w:t>Страхова кредиторська заборгованість</w:t>
            </w:r>
          </w:p>
        </w:tc>
        <w:tc>
          <w:tcPr>
            <w:tcW w:w="1296"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6516"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lastRenderedPageBreak/>
              <w:t>Заборгованість перед перестраховиками</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785</w:t>
            </w: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668</w:t>
            </w:r>
          </w:p>
        </w:tc>
      </w:tr>
      <w:tr w:rsidR="00A123B9" w:rsidRPr="000F4905" w:rsidTr="00A123B9">
        <w:trPr>
          <w:trHeight w:val="312"/>
        </w:trPr>
        <w:tc>
          <w:tcPr>
            <w:tcW w:w="6516"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Заборгованість перед брокерами                               </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227</w:t>
            </w: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194</w:t>
            </w:r>
          </w:p>
        </w:tc>
      </w:tr>
      <w:tr w:rsidR="00A123B9" w:rsidRPr="000F4905" w:rsidTr="00A123B9">
        <w:trPr>
          <w:trHeight w:val="312"/>
        </w:trPr>
        <w:tc>
          <w:tcPr>
            <w:tcW w:w="6516"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Аванси отримані за страховою діяльністю               </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c>
          <w:tcPr>
            <w:tcW w:w="1984"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6516"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1 013</w:t>
            </w:r>
          </w:p>
        </w:tc>
        <w:tc>
          <w:tcPr>
            <w:tcW w:w="1984"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862</w:t>
            </w:r>
          </w:p>
        </w:tc>
      </w:tr>
      <w:tr w:rsidR="00A123B9" w:rsidRPr="000F4905" w:rsidTr="00A123B9">
        <w:trPr>
          <w:trHeight w:val="312"/>
        </w:trPr>
        <w:tc>
          <w:tcPr>
            <w:tcW w:w="6516" w:type="dxa"/>
            <w:tcBorders>
              <w:left w:val="nil"/>
              <w:bottom w:val="nil"/>
              <w:right w:val="nil"/>
            </w:tcBorders>
            <w:shd w:val="clear" w:color="auto" w:fill="auto"/>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p>
        </w:tc>
        <w:tc>
          <w:tcPr>
            <w:tcW w:w="1296" w:type="dxa"/>
            <w:tcBorders>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984" w:type="dxa"/>
            <w:tcBorders>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24"/>
        </w:trPr>
        <w:tc>
          <w:tcPr>
            <w:tcW w:w="651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b/>
                <w:bCs/>
                <w:i/>
                <w:iCs/>
                <w:sz w:val="24"/>
                <w:szCs w:val="24"/>
              </w:rPr>
            </w:pPr>
            <w:r w:rsidRPr="000F4905">
              <w:rPr>
                <w:rFonts w:ascii="Times New Roman" w:hAnsi="Times New Roman" w:cs="Times New Roman"/>
                <w:b/>
                <w:bCs/>
                <w:i/>
                <w:iCs/>
                <w:sz w:val="24"/>
                <w:szCs w:val="24"/>
              </w:rPr>
              <w:t>Поточна кредиторська заборгованість</w:t>
            </w:r>
          </w:p>
        </w:tc>
        <w:tc>
          <w:tcPr>
            <w:tcW w:w="1296"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both"/>
              <w:rPr>
                <w:rFonts w:ascii="Times New Roman" w:hAnsi="Times New Roman" w:cs="Times New Roman"/>
                <w:b/>
                <w:bCs/>
                <w:i/>
                <w:iCs/>
                <w:sz w:val="24"/>
                <w:szCs w:val="24"/>
              </w:rPr>
            </w:pPr>
          </w:p>
        </w:tc>
        <w:tc>
          <w:tcPr>
            <w:tcW w:w="1984"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i/>
                <w:iCs/>
                <w:sz w:val="24"/>
                <w:szCs w:val="24"/>
              </w:rPr>
            </w:pPr>
          </w:p>
        </w:tc>
      </w:tr>
      <w:tr w:rsidR="00A123B9" w:rsidRPr="000F4905" w:rsidTr="00A123B9">
        <w:trPr>
          <w:trHeight w:val="312"/>
        </w:trPr>
        <w:tc>
          <w:tcPr>
            <w:tcW w:w="6516"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Заборгованість за товари, роботи, послуги                      </w:t>
            </w:r>
          </w:p>
        </w:tc>
        <w:tc>
          <w:tcPr>
            <w:tcW w:w="1296"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1984" w:type="dxa"/>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w:t>
            </w:r>
          </w:p>
        </w:tc>
      </w:tr>
      <w:tr w:rsidR="00A123B9" w:rsidRPr="000F4905" w:rsidTr="00A123B9">
        <w:trPr>
          <w:trHeight w:val="312"/>
        </w:trPr>
        <w:tc>
          <w:tcPr>
            <w:tcW w:w="6516"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Розрахунки з бюджетом  з податку на прибуток                                                   </w:t>
            </w:r>
          </w:p>
        </w:tc>
        <w:tc>
          <w:tcPr>
            <w:tcW w:w="1296"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50</w:t>
            </w:r>
          </w:p>
        </w:tc>
        <w:tc>
          <w:tcPr>
            <w:tcW w:w="1984"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6516"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54</w:t>
            </w:r>
          </w:p>
        </w:tc>
        <w:tc>
          <w:tcPr>
            <w:tcW w:w="1984" w:type="dxa"/>
            <w:tcBorders>
              <w:top w:val="single" w:sz="4" w:space="0" w:color="auto"/>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16</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i/>
          <w:sz w:val="24"/>
          <w:szCs w:val="24"/>
        </w:rPr>
      </w:pPr>
      <w:r w:rsidRPr="000F4905">
        <w:rPr>
          <w:rFonts w:ascii="Times New Roman" w:hAnsi="Times New Roman" w:cs="Times New Roman"/>
          <w:b/>
          <w:i/>
          <w:sz w:val="24"/>
          <w:szCs w:val="24"/>
        </w:rPr>
        <w:t>5.10   Поточні забезпечення (р. 1660)</w:t>
      </w:r>
    </w:p>
    <w:tbl>
      <w:tblPr>
        <w:tblW w:w="9781" w:type="dxa"/>
        <w:tblInd w:w="108" w:type="dxa"/>
        <w:tblLook w:val="04A0"/>
      </w:tblPr>
      <w:tblGrid>
        <w:gridCol w:w="6946"/>
        <w:gridCol w:w="1418"/>
        <w:gridCol w:w="1417"/>
      </w:tblGrid>
      <w:tr w:rsidR="00A123B9" w:rsidRPr="000F4905" w:rsidTr="00A123B9">
        <w:trPr>
          <w:trHeight w:val="324"/>
        </w:trPr>
        <w:tc>
          <w:tcPr>
            <w:tcW w:w="6946"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17"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6946" w:type="dxa"/>
            <w:tcBorders>
              <w:top w:val="nil"/>
              <w:left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Забезпечення виплат відпусток</w:t>
            </w:r>
          </w:p>
        </w:tc>
        <w:tc>
          <w:tcPr>
            <w:tcW w:w="1418" w:type="dxa"/>
            <w:tcBorders>
              <w:top w:val="nil"/>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316</w:t>
            </w:r>
          </w:p>
        </w:tc>
        <w:tc>
          <w:tcPr>
            <w:tcW w:w="1417" w:type="dxa"/>
            <w:tcBorders>
              <w:top w:val="nil"/>
              <w:left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172</w:t>
            </w:r>
          </w:p>
        </w:tc>
      </w:tr>
      <w:tr w:rsidR="00A123B9" w:rsidRPr="000F4905" w:rsidTr="00A123B9">
        <w:trPr>
          <w:trHeight w:val="312"/>
        </w:trPr>
        <w:tc>
          <w:tcPr>
            <w:tcW w:w="6946" w:type="dxa"/>
            <w:tcBorders>
              <w:top w:val="single" w:sz="4" w:space="0" w:color="auto"/>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b/>
                <w:sz w:val="24"/>
                <w:szCs w:val="24"/>
              </w:rPr>
            </w:pPr>
            <w:r w:rsidRPr="000F4905">
              <w:rPr>
                <w:rFonts w:ascii="Times New Roman" w:hAnsi="Times New Roman" w:cs="Times New Roman"/>
                <w:b/>
                <w:sz w:val="24"/>
                <w:szCs w:val="24"/>
              </w:rPr>
              <w:t xml:space="preserve">Всього                                                                                                                                        </w:t>
            </w:r>
          </w:p>
        </w:tc>
        <w:tc>
          <w:tcPr>
            <w:tcW w:w="1418"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316</w:t>
            </w:r>
          </w:p>
        </w:tc>
        <w:tc>
          <w:tcPr>
            <w:tcW w:w="1417"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172</w:t>
            </w:r>
          </w:p>
        </w:tc>
      </w:tr>
    </w:tbl>
    <w:p w:rsidR="00A123B9" w:rsidRPr="000F4905" w:rsidRDefault="00A123B9" w:rsidP="000F4905">
      <w:pPr>
        <w:pStyle w:val="af6"/>
        <w:widowControl w:val="0"/>
        <w:spacing w:before="0" w:beforeAutospacing="0" w:after="0" w:afterAutospacing="0"/>
        <w:jc w:val="both"/>
        <w:rPr>
          <w:lang w:val="uk-UA"/>
        </w:rPr>
      </w:pP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6.  Примітки до Звіту про фінансові результати (звіту про сукупний дохід)</w:t>
      </w:r>
    </w:p>
    <w:p w:rsidR="00A123B9" w:rsidRPr="000F4905" w:rsidRDefault="00A123B9" w:rsidP="000F4905">
      <w:pPr>
        <w:widowControl w:val="0"/>
        <w:spacing w:after="0" w:line="240" w:lineRule="auto"/>
        <w:jc w:val="both"/>
        <w:rPr>
          <w:rFonts w:ascii="Times New Roman" w:hAnsi="Times New Roman" w:cs="Times New Roman"/>
          <w:b/>
          <w:i/>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6.1 Чисті зароблені страхові премії (р. 2010)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Аналіз страхових премій за період, що закінчився на 30вересня 2023 року, представлений таким  чином:</w:t>
      </w:r>
    </w:p>
    <w:tbl>
      <w:tblPr>
        <w:tblW w:w="9369" w:type="dxa"/>
        <w:tblInd w:w="108" w:type="dxa"/>
        <w:tblLook w:val="04A0"/>
      </w:tblPr>
      <w:tblGrid>
        <w:gridCol w:w="1779"/>
        <w:gridCol w:w="2075"/>
        <w:gridCol w:w="1539"/>
        <w:gridCol w:w="136"/>
        <w:gridCol w:w="1780"/>
        <w:gridCol w:w="2060"/>
      </w:tblGrid>
      <w:tr w:rsidR="00A123B9" w:rsidRPr="000F4905" w:rsidTr="00A123B9">
        <w:trPr>
          <w:trHeight w:val="312"/>
          <w:tblHeader/>
        </w:trPr>
        <w:tc>
          <w:tcPr>
            <w:tcW w:w="5529" w:type="dxa"/>
            <w:gridSpan w:val="4"/>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206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529" w:type="dxa"/>
            <w:gridSpan w:val="4"/>
            <w:tcBorders>
              <w:top w:val="nil"/>
              <w:left w:val="nil"/>
              <w:bottom w:val="nil"/>
              <w:right w:val="nil"/>
            </w:tcBorders>
            <w:shd w:val="clear" w:color="auto" w:fill="auto"/>
            <w:noWrap/>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Страхові премії</w:t>
            </w:r>
          </w:p>
        </w:tc>
        <w:tc>
          <w:tcPr>
            <w:tcW w:w="178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1 994</w:t>
            </w:r>
          </w:p>
        </w:tc>
        <w:tc>
          <w:tcPr>
            <w:tcW w:w="2060" w:type="dxa"/>
            <w:tcBorders>
              <w:top w:val="nil"/>
              <w:left w:val="nil"/>
              <w:bottom w:val="nil"/>
              <w:right w:val="nil"/>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339</w:t>
            </w:r>
          </w:p>
        </w:tc>
      </w:tr>
      <w:tr w:rsidR="00A123B9" w:rsidRPr="000F4905" w:rsidTr="00A123B9">
        <w:trPr>
          <w:trHeight w:val="337"/>
        </w:trPr>
        <w:tc>
          <w:tcPr>
            <w:tcW w:w="5529" w:type="dxa"/>
            <w:gridSpan w:val="4"/>
            <w:tcBorders>
              <w:top w:val="nil"/>
              <w:left w:val="nil"/>
              <w:bottom w:val="single" w:sz="4" w:space="0" w:color="auto"/>
              <w:right w:val="nil"/>
            </w:tcBorders>
            <w:shd w:val="clear" w:color="auto" w:fill="auto"/>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Страхові премії, передані у перестрахування</w:t>
            </w:r>
          </w:p>
        </w:tc>
        <w:tc>
          <w:tcPr>
            <w:tcW w:w="1780" w:type="dxa"/>
            <w:tcBorders>
              <w:top w:val="nil"/>
              <w:left w:val="nil"/>
              <w:bottom w:val="single" w:sz="4" w:space="0" w:color="auto"/>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(1 026)</w:t>
            </w:r>
          </w:p>
        </w:tc>
        <w:tc>
          <w:tcPr>
            <w:tcW w:w="2060" w:type="dxa"/>
            <w:tcBorders>
              <w:top w:val="nil"/>
              <w:left w:val="nil"/>
              <w:bottom w:val="single" w:sz="4" w:space="0" w:color="auto"/>
              <w:right w:val="nil"/>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(81)</w:t>
            </w:r>
          </w:p>
        </w:tc>
      </w:tr>
      <w:tr w:rsidR="00A123B9" w:rsidRPr="000F4905" w:rsidTr="00A123B9">
        <w:trPr>
          <w:trHeight w:val="312"/>
        </w:trPr>
        <w:tc>
          <w:tcPr>
            <w:tcW w:w="5529" w:type="dxa"/>
            <w:gridSpan w:val="4"/>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Страхові премії, чисті</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968</w:t>
            </w:r>
          </w:p>
        </w:tc>
        <w:tc>
          <w:tcPr>
            <w:tcW w:w="20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258</w:t>
            </w:r>
          </w:p>
        </w:tc>
      </w:tr>
      <w:tr w:rsidR="00A123B9" w:rsidRPr="000F4905" w:rsidTr="00A123B9">
        <w:trPr>
          <w:trHeight w:val="312"/>
        </w:trPr>
        <w:tc>
          <w:tcPr>
            <w:tcW w:w="5529" w:type="dxa"/>
            <w:gridSpan w:val="4"/>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rPr>
                <w:rFonts w:ascii="Times New Roman" w:hAnsi="Times New Roman" w:cs="Times New Roman"/>
                <w:sz w:val="24"/>
                <w:szCs w:val="24"/>
              </w:rPr>
            </w:pPr>
          </w:p>
        </w:tc>
        <w:tc>
          <w:tcPr>
            <w:tcW w:w="20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p>
        </w:tc>
      </w:tr>
      <w:tr w:rsidR="00A123B9" w:rsidRPr="000F4905" w:rsidTr="00A123B9">
        <w:trPr>
          <w:trHeight w:val="312"/>
        </w:trPr>
        <w:tc>
          <w:tcPr>
            <w:tcW w:w="5529" w:type="dxa"/>
            <w:gridSpan w:val="4"/>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Зміна резерву незароблених премій</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(256)</w:t>
            </w:r>
          </w:p>
        </w:tc>
        <w:tc>
          <w:tcPr>
            <w:tcW w:w="20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2529</w:t>
            </w:r>
          </w:p>
        </w:tc>
      </w:tr>
      <w:tr w:rsidR="00A123B9" w:rsidRPr="000F4905" w:rsidTr="00A123B9">
        <w:trPr>
          <w:trHeight w:val="624"/>
        </w:trPr>
        <w:tc>
          <w:tcPr>
            <w:tcW w:w="5529" w:type="dxa"/>
            <w:gridSpan w:val="4"/>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Частка перестраховиків у зміні резерву незароблених премій</w:t>
            </w:r>
          </w:p>
        </w:tc>
        <w:tc>
          <w:tcPr>
            <w:tcW w:w="178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219</w:t>
            </w:r>
          </w:p>
        </w:tc>
        <w:tc>
          <w:tcPr>
            <w:tcW w:w="206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(1 266)</w:t>
            </w:r>
          </w:p>
        </w:tc>
      </w:tr>
      <w:tr w:rsidR="00A123B9" w:rsidRPr="000F4905" w:rsidTr="00A123B9">
        <w:trPr>
          <w:trHeight w:val="300"/>
        </w:trPr>
        <w:tc>
          <w:tcPr>
            <w:tcW w:w="5529" w:type="dxa"/>
            <w:gridSpan w:val="4"/>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Зміна резерву незароблених премій, чиста</w:t>
            </w:r>
          </w:p>
        </w:tc>
        <w:tc>
          <w:tcPr>
            <w:tcW w:w="178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(37)</w:t>
            </w:r>
          </w:p>
        </w:tc>
        <w:tc>
          <w:tcPr>
            <w:tcW w:w="2060" w:type="dxa"/>
            <w:tcBorders>
              <w:top w:val="nil"/>
              <w:left w:val="nil"/>
              <w:bottom w:val="single" w:sz="4"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1 263</w:t>
            </w:r>
          </w:p>
        </w:tc>
      </w:tr>
      <w:tr w:rsidR="00A123B9" w:rsidRPr="000F4905" w:rsidTr="00A123B9">
        <w:trPr>
          <w:trHeight w:val="312"/>
        </w:trPr>
        <w:tc>
          <w:tcPr>
            <w:tcW w:w="5529" w:type="dxa"/>
            <w:gridSpan w:val="4"/>
            <w:tcBorders>
              <w:top w:val="nil"/>
              <w:left w:val="nil"/>
              <w:bottom w:val="nil"/>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Чисті зароблені премії</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931</w:t>
            </w:r>
          </w:p>
        </w:tc>
        <w:tc>
          <w:tcPr>
            <w:tcW w:w="206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1 521</w:t>
            </w:r>
          </w:p>
        </w:tc>
      </w:tr>
      <w:tr w:rsidR="00A123B9" w:rsidRPr="000F4905" w:rsidTr="00A123B9">
        <w:trPr>
          <w:gridAfter w:val="3"/>
          <w:wAfter w:w="3976" w:type="dxa"/>
          <w:trHeight w:val="312"/>
        </w:trPr>
        <w:tc>
          <w:tcPr>
            <w:tcW w:w="1779"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2075"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539"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r>
    </w:tbl>
    <w:p w:rsidR="00A123B9" w:rsidRPr="000F4905" w:rsidRDefault="00A123B9" w:rsidP="000F4905">
      <w:pPr>
        <w:pStyle w:val="af7"/>
        <w:widowControl w:val="0"/>
        <w:spacing w:after="0"/>
        <w:jc w:val="both"/>
        <w:rPr>
          <w:sz w:val="24"/>
          <w:szCs w:val="24"/>
        </w:rPr>
      </w:pPr>
      <w:r w:rsidRPr="000F4905">
        <w:rPr>
          <w:sz w:val="24"/>
          <w:szCs w:val="24"/>
        </w:rPr>
        <w:t xml:space="preserve">За звітний період загальна сума страхових платежів склала 1 994 тис. грн., </w:t>
      </w:r>
      <w:r w:rsidRPr="000F4905">
        <w:rPr>
          <w:sz w:val="24"/>
          <w:szCs w:val="24"/>
          <w:lang w:eastAsia="uk-UA"/>
        </w:rPr>
        <w:t>що на 1 655 тис. грн. більше ніж за звітний період 2022</w:t>
      </w:r>
      <w:r w:rsidRPr="000F4905">
        <w:rPr>
          <w:sz w:val="24"/>
          <w:szCs w:val="24"/>
        </w:rPr>
        <w:t xml:space="preserve">року.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Загальний обсяг премій, переданих Компанією за укладеними договорами на перестрахування  протягом звітного періоду склав 1 026тис. грн.(звітний період 2022 року – 81 тис.грн.)</w:t>
      </w:r>
    </w:p>
    <w:p w:rsidR="00A123B9" w:rsidRPr="000F4905" w:rsidRDefault="00A123B9" w:rsidP="000F4905">
      <w:pPr>
        <w:widowControl w:val="0"/>
        <w:spacing w:after="0" w:line="240" w:lineRule="auto"/>
        <w:jc w:val="both"/>
        <w:rPr>
          <w:rFonts w:ascii="Times New Roman" w:hAnsi="Times New Roman" w:cs="Times New Roman"/>
          <w:bCs/>
          <w:iCs/>
          <w:sz w:val="24"/>
          <w:szCs w:val="24"/>
        </w:rPr>
      </w:pPr>
    </w:p>
    <w:p w:rsidR="00A123B9" w:rsidRPr="000F4905" w:rsidRDefault="00A123B9" w:rsidP="000F4905">
      <w:pPr>
        <w:widowControl w:val="0"/>
        <w:spacing w:after="0" w:line="240" w:lineRule="auto"/>
        <w:rPr>
          <w:rFonts w:ascii="Times New Roman" w:hAnsi="Times New Roman" w:cs="Times New Roman"/>
          <w:b/>
          <w:i/>
          <w:sz w:val="24"/>
          <w:szCs w:val="24"/>
        </w:rPr>
      </w:pPr>
      <w:r w:rsidRPr="000F4905">
        <w:rPr>
          <w:rFonts w:ascii="Times New Roman" w:hAnsi="Times New Roman" w:cs="Times New Roman"/>
          <w:b/>
          <w:i/>
          <w:sz w:val="24"/>
          <w:szCs w:val="24"/>
        </w:rPr>
        <w:t>6.2 Чисті понесені збитки за страховими виплатами (р.2070)</w:t>
      </w:r>
    </w:p>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Аналіз понесених збитків на 30 вересня, представлений таким чином:</w:t>
      </w:r>
    </w:p>
    <w:tbl>
      <w:tblPr>
        <w:tblW w:w="9781" w:type="dxa"/>
        <w:tblInd w:w="108" w:type="dxa"/>
        <w:tblLook w:val="04A0"/>
      </w:tblPr>
      <w:tblGrid>
        <w:gridCol w:w="5812"/>
        <w:gridCol w:w="2268"/>
        <w:gridCol w:w="1701"/>
      </w:tblGrid>
      <w:tr w:rsidR="00A123B9" w:rsidRPr="000F4905" w:rsidTr="00A123B9">
        <w:trPr>
          <w:trHeight w:val="324"/>
        </w:trPr>
        <w:tc>
          <w:tcPr>
            <w:tcW w:w="5812"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70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81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Збитки за страховими виплатами</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c>
          <w:tcPr>
            <w:tcW w:w="1701"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w:t>
            </w:r>
          </w:p>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701"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w:t>
            </w:r>
          </w:p>
        </w:tc>
      </w:tr>
    </w:tbl>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6.3Інші операційні доходи (р. 2120)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операційні доходи за період, що закінчився 30вересня 2023 року, представлені наступним чином:</w:t>
      </w:r>
    </w:p>
    <w:tbl>
      <w:tblPr>
        <w:tblW w:w="9781" w:type="dxa"/>
        <w:tblInd w:w="108" w:type="dxa"/>
        <w:tblLook w:val="04A0"/>
      </w:tblPr>
      <w:tblGrid>
        <w:gridCol w:w="5812"/>
        <w:gridCol w:w="2268"/>
        <w:gridCol w:w="1701"/>
      </w:tblGrid>
      <w:tr w:rsidR="00A123B9" w:rsidRPr="000F4905" w:rsidTr="00A123B9">
        <w:trPr>
          <w:trHeight w:val="324"/>
        </w:trPr>
        <w:tc>
          <w:tcPr>
            <w:tcW w:w="5812"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lastRenderedPageBreak/>
              <w:t> </w:t>
            </w:r>
          </w:p>
        </w:tc>
        <w:tc>
          <w:tcPr>
            <w:tcW w:w="226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70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81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Дохід від надання послуг для інших страховиків</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c>
          <w:tcPr>
            <w:tcW w:w="1701"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Відсотки за залишками коштів на поточних рахунках</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95</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Відшкодування збитку внаслідок пошкодженого автомобіля компанії</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73</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Доходи від операційної курсової різниці</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5 831</w:t>
            </w:r>
          </w:p>
        </w:tc>
      </w:tr>
      <w:tr w:rsidR="00A123B9" w:rsidRPr="000F4905" w:rsidTr="00A123B9">
        <w:trPr>
          <w:trHeight w:val="312"/>
        </w:trPr>
        <w:tc>
          <w:tcPr>
            <w:tcW w:w="5812"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174</w:t>
            </w:r>
          </w:p>
        </w:tc>
        <w:tc>
          <w:tcPr>
            <w:tcW w:w="1701"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5 837</w:t>
            </w:r>
          </w:p>
        </w:tc>
      </w:tr>
    </w:tbl>
    <w:p w:rsidR="00A123B9" w:rsidRPr="000F4905" w:rsidRDefault="00A123B9" w:rsidP="000F4905">
      <w:pPr>
        <w:widowControl w:val="0"/>
        <w:spacing w:after="0" w:line="240" w:lineRule="auto"/>
        <w:jc w:val="both"/>
        <w:rPr>
          <w:rFonts w:ascii="Times New Roman" w:hAnsi="Times New Roman" w:cs="Times New Roman"/>
          <w:bCs/>
          <w:iCs/>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6.4Адміністративні витрати (р. 2130)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Адміністративні витрати за період, що закінчився 30вересня 2023 року, представлені наступним чином:</w:t>
      </w:r>
    </w:p>
    <w:tbl>
      <w:tblPr>
        <w:tblW w:w="9923" w:type="dxa"/>
        <w:tblLook w:val="04A0"/>
      </w:tblPr>
      <w:tblGrid>
        <w:gridCol w:w="6521"/>
        <w:gridCol w:w="1701"/>
        <w:gridCol w:w="1701"/>
      </w:tblGrid>
      <w:tr w:rsidR="00A123B9" w:rsidRPr="000F4905" w:rsidTr="00A123B9">
        <w:trPr>
          <w:trHeight w:val="324"/>
        </w:trPr>
        <w:tc>
          <w:tcPr>
            <w:tcW w:w="6521"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bookmarkStart w:id="7" w:name="OLE_LINK1"/>
            <w:r w:rsidRPr="000F4905">
              <w:rPr>
                <w:rFonts w:ascii="Times New Roman" w:hAnsi="Times New Roman" w:cs="Times New Roman"/>
                <w:sz w:val="24"/>
                <w:szCs w:val="24"/>
              </w:rPr>
              <w:t> </w:t>
            </w:r>
          </w:p>
        </w:tc>
        <w:tc>
          <w:tcPr>
            <w:tcW w:w="1701"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701"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6521"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Виплати працівникам </w:t>
            </w:r>
          </w:p>
        </w:tc>
        <w:tc>
          <w:tcPr>
            <w:tcW w:w="1701"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2 372</w:t>
            </w:r>
          </w:p>
        </w:tc>
        <w:tc>
          <w:tcPr>
            <w:tcW w:w="1701" w:type="dxa"/>
            <w:tcBorders>
              <w:top w:val="single" w:sz="4" w:space="0" w:color="auto"/>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1773</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Нарахування на виплати працівникам</w:t>
            </w:r>
          </w:p>
        </w:tc>
        <w:tc>
          <w:tcPr>
            <w:tcW w:w="1701"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520</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405</w:t>
            </w:r>
          </w:p>
        </w:tc>
      </w:tr>
      <w:tr w:rsidR="00A123B9" w:rsidRPr="000F4905" w:rsidTr="00A123B9">
        <w:trPr>
          <w:trHeight w:val="312"/>
        </w:trPr>
        <w:tc>
          <w:tcPr>
            <w:tcW w:w="6521"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Амортизація</w:t>
            </w:r>
          </w:p>
        </w:tc>
        <w:tc>
          <w:tcPr>
            <w:tcW w:w="1701"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608</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1 008</w:t>
            </w:r>
          </w:p>
        </w:tc>
      </w:tr>
      <w:tr w:rsidR="00A123B9" w:rsidRPr="000F4905" w:rsidTr="00A123B9">
        <w:trPr>
          <w:cantSplit/>
          <w:trHeight w:val="312"/>
        </w:trPr>
        <w:tc>
          <w:tcPr>
            <w:tcW w:w="6521" w:type="dxa"/>
            <w:shd w:val="clear" w:color="auto" w:fill="auto"/>
            <w:noWrap/>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Витрати на обслуговування офісу</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54</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54</w:t>
            </w:r>
          </w:p>
        </w:tc>
      </w:tr>
      <w:tr w:rsidR="00A123B9" w:rsidRPr="000F4905" w:rsidTr="00A123B9">
        <w:trPr>
          <w:cantSplit/>
          <w:trHeight w:val="312"/>
        </w:trPr>
        <w:tc>
          <w:tcPr>
            <w:tcW w:w="6521" w:type="dxa"/>
            <w:shd w:val="clear" w:color="auto" w:fill="auto"/>
            <w:noWrap/>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Витрати на обслуговування автотранспорту</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212</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135</w:t>
            </w:r>
          </w:p>
        </w:tc>
      </w:tr>
      <w:tr w:rsidR="00A123B9" w:rsidRPr="000F4905" w:rsidTr="00A123B9">
        <w:trPr>
          <w:trHeight w:val="312"/>
        </w:trPr>
        <w:tc>
          <w:tcPr>
            <w:tcW w:w="6521"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Консультаційні послуги </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160</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46</w:t>
            </w:r>
          </w:p>
        </w:tc>
      </w:tr>
      <w:tr w:rsidR="00A123B9" w:rsidRPr="000F4905" w:rsidTr="00A123B9">
        <w:trPr>
          <w:trHeight w:val="312"/>
        </w:trPr>
        <w:tc>
          <w:tcPr>
            <w:tcW w:w="6521"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Комунальні послуги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67</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91</w:t>
            </w:r>
          </w:p>
        </w:tc>
      </w:tr>
      <w:tr w:rsidR="00A123B9" w:rsidRPr="000F4905" w:rsidTr="00A123B9">
        <w:trPr>
          <w:trHeight w:val="312"/>
        </w:trPr>
        <w:tc>
          <w:tcPr>
            <w:tcW w:w="6521"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Послуги банків  </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34</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27</w:t>
            </w:r>
          </w:p>
        </w:tc>
      </w:tr>
      <w:tr w:rsidR="00A123B9" w:rsidRPr="000F4905" w:rsidTr="00A123B9">
        <w:trPr>
          <w:trHeight w:val="312"/>
        </w:trPr>
        <w:tc>
          <w:tcPr>
            <w:tcW w:w="6521"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Витрати на зв’язок </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23</w:t>
            </w:r>
          </w:p>
        </w:tc>
        <w:tc>
          <w:tcPr>
            <w:tcW w:w="1701"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Канцелярські витрати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Витрати на підтвердження рейтингу компанії</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Аудиторські послуги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68</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Витрати з податків та зборів</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27</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27</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Депозитарні послуги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Актуарні послуги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32</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23</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Технічне обслуговування основних засобів</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43</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r>
      <w:tr w:rsidR="00A123B9" w:rsidRPr="000F4905" w:rsidTr="00A123B9">
        <w:trPr>
          <w:trHeight w:val="312"/>
        </w:trPr>
        <w:tc>
          <w:tcPr>
            <w:tcW w:w="6521" w:type="dxa"/>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Оціночні послуги</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c>
          <w:tcPr>
            <w:tcW w:w="1701" w:type="dxa"/>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w:t>
            </w:r>
          </w:p>
        </w:tc>
      </w:tr>
      <w:tr w:rsidR="00A123B9" w:rsidRPr="000F4905" w:rsidTr="00A123B9">
        <w:trPr>
          <w:trHeight w:val="312"/>
        </w:trPr>
        <w:tc>
          <w:tcPr>
            <w:tcW w:w="6521"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Інше</w:t>
            </w:r>
          </w:p>
        </w:tc>
        <w:tc>
          <w:tcPr>
            <w:tcW w:w="1701" w:type="dxa"/>
            <w:tcBorders>
              <w:bottom w:val="single" w:sz="4" w:space="0" w:color="auto"/>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c>
          <w:tcPr>
            <w:tcW w:w="1701" w:type="dxa"/>
            <w:tcBorders>
              <w:bottom w:val="single" w:sz="4" w:space="0" w:color="auto"/>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r>
      <w:tr w:rsidR="00A123B9" w:rsidRPr="000F4905" w:rsidTr="00A123B9">
        <w:trPr>
          <w:trHeight w:val="312"/>
        </w:trPr>
        <w:tc>
          <w:tcPr>
            <w:tcW w:w="6521" w:type="dxa"/>
            <w:tcBorders>
              <w:top w:val="single" w:sz="4" w:space="0" w:color="auto"/>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701" w:type="dxa"/>
            <w:tcBorders>
              <w:top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4274</w:t>
            </w:r>
          </w:p>
        </w:tc>
        <w:tc>
          <w:tcPr>
            <w:tcW w:w="1701" w:type="dxa"/>
            <w:tcBorders>
              <w:top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3668</w:t>
            </w:r>
          </w:p>
        </w:tc>
      </w:tr>
      <w:bookmarkEnd w:id="7"/>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6.5Витрати на збут (р. 2150)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Витрати на збут</w:t>
      </w:r>
      <w:r w:rsidR="000F4905" w:rsidRPr="000F4905">
        <w:rPr>
          <w:rFonts w:ascii="Times New Roman" w:hAnsi="Times New Roman" w:cs="Times New Roman"/>
          <w:sz w:val="24"/>
          <w:szCs w:val="24"/>
          <w:lang w:val="ru-RU"/>
        </w:rPr>
        <w:t xml:space="preserve"> </w:t>
      </w:r>
      <w:r w:rsidRPr="000F4905">
        <w:rPr>
          <w:rFonts w:ascii="Times New Roman" w:hAnsi="Times New Roman" w:cs="Times New Roman"/>
          <w:sz w:val="24"/>
          <w:szCs w:val="24"/>
        </w:rPr>
        <w:t>за період, що закінчився 30вересня 2023 року, представлені наступним чином:</w:t>
      </w:r>
    </w:p>
    <w:tbl>
      <w:tblPr>
        <w:tblW w:w="9923" w:type="dxa"/>
        <w:tblInd w:w="108" w:type="dxa"/>
        <w:tblLook w:val="04A0"/>
      </w:tblPr>
      <w:tblGrid>
        <w:gridCol w:w="6663"/>
        <w:gridCol w:w="1780"/>
        <w:gridCol w:w="1480"/>
      </w:tblGrid>
      <w:tr w:rsidR="00A123B9" w:rsidRPr="000F4905" w:rsidTr="00A123B9">
        <w:trPr>
          <w:trHeight w:val="324"/>
        </w:trPr>
        <w:tc>
          <w:tcPr>
            <w:tcW w:w="6663"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24"/>
        </w:trPr>
        <w:tc>
          <w:tcPr>
            <w:tcW w:w="666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Винагорода брокерам та агентам</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264</w:t>
            </w:r>
          </w:p>
        </w:tc>
        <w:tc>
          <w:tcPr>
            <w:tcW w:w="1480" w:type="dxa"/>
            <w:tcBorders>
              <w:top w:val="nil"/>
              <w:left w:val="nil"/>
              <w:bottom w:val="nil"/>
              <w:right w:val="nil"/>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25</w:t>
            </w:r>
          </w:p>
        </w:tc>
      </w:tr>
      <w:tr w:rsidR="00A123B9" w:rsidRPr="000F4905" w:rsidTr="00A123B9">
        <w:trPr>
          <w:trHeight w:val="312"/>
        </w:trPr>
        <w:tc>
          <w:tcPr>
            <w:tcW w:w="666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Послуги асістансу</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34</w:t>
            </w:r>
          </w:p>
        </w:tc>
        <w:tc>
          <w:tcPr>
            <w:tcW w:w="1480" w:type="dxa"/>
            <w:tcBorders>
              <w:top w:val="nil"/>
              <w:left w:val="nil"/>
              <w:bottom w:val="nil"/>
              <w:right w:val="nil"/>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w:t>
            </w:r>
          </w:p>
        </w:tc>
      </w:tr>
      <w:tr w:rsidR="00A123B9" w:rsidRPr="000F4905" w:rsidTr="00A123B9">
        <w:trPr>
          <w:trHeight w:val="312"/>
        </w:trPr>
        <w:tc>
          <w:tcPr>
            <w:tcW w:w="6663"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Участь у тендерах (учасник</w:t>
            </w:r>
            <w:r w:rsidR="000F4905" w:rsidRPr="000F4905">
              <w:rPr>
                <w:rFonts w:ascii="Times New Roman" w:hAnsi="Times New Roman" w:cs="Times New Roman"/>
                <w:sz w:val="24"/>
                <w:szCs w:val="24"/>
                <w:lang w:val="ru-RU"/>
              </w:rPr>
              <w:t xml:space="preserve"> </w:t>
            </w:r>
            <w:r w:rsidRPr="000F4905">
              <w:rPr>
                <w:rFonts w:ascii="Times New Roman" w:hAnsi="Times New Roman" w:cs="Times New Roman"/>
                <w:sz w:val="24"/>
                <w:szCs w:val="24"/>
              </w:rPr>
              <w:t>переможець)</w:t>
            </w:r>
          </w:p>
        </w:tc>
        <w:tc>
          <w:tcPr>
            <w:tcW w:w="1780"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80" w:type="dxa"/>
            <w:tcBorders>
              <w:top w:val="nil"/>
              <w:left w:val="nil"/>
              <w:bottom w:val="nil"/>
              <w:right w:val="nil"/>
            </w:tcBorders>
            <w:shd w:val="clear" w:color="auto" w:fill="auto"/>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11</w:t>
            </w:r>
          </w:p>
        </w:tc>
      </w:tr>
      <w:tr w:rsidR="00A123B9" w:rsidRPr="000F4905" w:rsidTr="00A123B9">
        <w:trPr>
          <w:trHeight w:val="312"/>
        </w:trPr>
        <w:tc>
          <w:tcPr>
            <w:tcW w:w="6663"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780"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298</w:t>
            </w:r>
          </w:p>
        </w:tc>
        <w:tc>
          <w:tcPr>
            <w:tcW w:w="1480" w:type="dxa"/>
            <w:tcBorders>
              <w:top w:val="single" w:sz="4" w:space="0" w:color="auto"/>
              <w:left w:val="nil"/>
              <w:bottom w:val="nil"/>
              <w:right w:val="nil"/>
            </w:tcBorders>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58</w:t>
            </w:r>
          </w:p>
        </w:tc>
      </w:tr>
    </w:tbl>
    <w:p w:rsidR="00A123B9" w:rsidRPr="000F4905" w:rsidRDefault="00A123B9" w:rsidP="000F4905">
      <w:pPr>
        <w:widowControl w:val="0"/>
        <w:spacing w:after="0" w:line="240" w:lineRule="auto"/>
        <w:jc w:val="both"/>
        <w:rPr>
          <w:rFonts w:ascii="Times New Roman" w:hAnsi="Times New Roman" w:cs="Times New Roman"/>
          <w:b/>
          <w:i/>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6.6Інші операційні витрати (р. 2180)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операційні витрати за період, що закінчився 30вересня 2023 року, представлені наступним чином:</w:t>
      </w:r>
    </w:p>
    <w:tbl>
      <w:tblPr>
        <w:tblW w:w="9923" w:type="dxa"/>
        <w:tblInd w:w="108" w:type="dxa"/>
        <w:tblLook w:val="04A0"/>
      </w:tblPr>
      <w:tblGrid>
        <w:gridCol w:w="6663"/>
        <w:gridCol w:w="1780"/>
        <w:gridCol w:w="1480"/>
      </w:tblGrid>
      <w:tr w:rsidR="00A123B9" w:rsidRPr="000F4905" w:rsidTr="00A123B9">
        <w:trPr>
          <w:trHeight w:val="324"/>
        </w:trPr>
        <w:tc>
          <w:tcPr>
            <w:tcW w:w="6663"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80" w:type="dxa"/>
            <w:tcBorders>
              <w:bottom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247"/>
        </w:trPr>
        <w:tc>
          <w:tcPr>
            <w:tcW w:w="6663"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Нарахування ЄСВ на допомогу у зв’язку з вагітністю та </w:t>
            </w:r>
            <w:r w:rsidRPr="000F4905">
              <w:rPr>
                <w:rFonts w:ascii="Times New Roman" w:hAnsi="Times New Roman" w:cs="Times New Roman"/>
                <w:sz w:val="24"/>
                <w:szCs w:val="24"/>
              </w:rPr>
              <w:lastRenderedPageBreak/>
              <w:t>пологами</w:t>
            </w:r>
          </w:p>
        </w:tc>
        <w:tc>
          <w:tcPr>
            <w:tcW w:w="17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lastRenderedPageBreak/>
              <w:t>13</w:t>
            </w:r>
          </w:p>
        </w:tc>
        <w:tc>
          <w:tcPr>
            <w:tcW w:w="14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47"/>
        </w:trPr>
        <w:tc>
          <w:tcPr>
            <w:tcW w:w="6663"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lastRenderedPageBreak/>
              <w:t>Додаткове благо</w:t>
            </w:r>
          </w:p>
        </w:tc>
        <w:tc>
          <w:tcPr>
            <w:tcW w:w="17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c>
          <w:tcPr>
            <w:tcW w:w="14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247"/>
        </w:trPr>
        <w:tc>
          <w:tcPr>
            <w:tcW w:w="6663"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Збитки від операційної курсової різниці</w:t>
            </w:r>
          </w:p>
        </w:tc>
        <w:tc>
          <w:tcPr>
            <w:tcW w:w="17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79</w:t>
            </w:r>
          </w:p>
        </w:tc>
        <w:tc>
          <w:tcPr>
            <w:tcW w:w="14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247"/>
        </w:trPr>
        <w:tc>
          <w:tcPr>
            <w:tcW w:w="6663"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Витрати на нарахування резерву очікуваних кредитних збитків</w:t>
            </w:r>
          </w:p>
        </w:tc>
        <w:tc>
          <w:tcPr>
            <w:tcW w:w="17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80" w:type="dxa"/>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r>
      <w:tr w:rsidR="00A123B9" w:rsidRPr="000F4905" w:rsidTr="00A123B9">
        <w:trPr>
          <w:trHeight w:val="312"/>
        </w:trPr>
        <w:tc>
          <w:tcPr>
            <w:tcW w:w="6663" w:type="dxa"/>
            <w:tcBorders>
              <w:top w:val="single" w:sz="4" w:space="0" w:color="auto"/>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 xml:space="preserve">Всього                                                          </w:t>
            </w:r>
          </w:p>
        </w:tc>
        <w:tc>
          <w:tcPr>
            <w:tcW w:w="1780" w:type="dxa"/>
            <w:tcBorders>
              <w:top w:val="single" w:sz="4" w:space="0" w:color="auto"/>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93</w:t>
            </w:r>
          </w:p>
        </w:tc>
        <w:tc>
          <w:tcPr>
            <w:tcW w:w="1480" w:type="dxa"/>
            <w:tcBorders>
              <w:top w:val="single" w:sz="4" w:space="0" w:color="auto"/>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6.7 Фінансові доходи (р. 2220)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Фінансові доходи за період, що закінчився 30вересня 2023року, представлені таким чином:</w:t>
      </w:r>
    </w:p>
    <w:tbl>
      <w:tblPr>
        <w:tblW w:w="9782" w:type="dxa"/>
        <w:tblInd w:w="108" w:type="dxa"/>
        <w:tblLook w:val="04A0"/>
      </w:tblPr>
      <w:tblGrid>
        <w:gridCol w:w="6521"/>
        <w:gridCol w:w="1780"/>
        <w:gridCol w:w="1481"/>
      </w:tblGrid>
      <w:tr w:rsidR="00A123B9" w:rsidRPr="000F4905" w:rsidTr="00A123B9">
        <w:trPr>
          <w:trHeight w:val="324"/>
        </w:trPr>
        <w:tc>
          <w:tcPr>
            <w:tcW w:w="652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8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672"/>
        </w:trPr>
        <w:tc>
          <w:tcPr>
            <w:tcW w:w="6521"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Процентні доходи за депозитами  </w:t>
            </w:r>
          </w:p>
        </w:tc>
        <w:tc>
          <w:tcPr>
            <w:tcW w:w="178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1 997</w:t>
            </w:r>
          </w:p>
        </w:tc>
        <w:tc>
          <w:tcPr>
            <w:tcW w:w="1481"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1 249</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зазнає впливу коливань ринкових процентних ставок на свій фінансовий стан та грошові потоки. Процентна маржа може збільшуватися або зменшуватися в результаті таких змін або призводити до збитків у разі виникнення несподіваних змін.</w:t>
      </w:r>
    </w:p>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6.8Інші доходи (р. 2240)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доходи за період, що закінчився 30вересня 2023року, представлені таким чином:</w:t>
      </w:r>
    </w:p>
    <w:tbl>
      <w:tblPr>
        <w:tblW w:w="9782" w:type="dxa"/>
        <w:tblInd w:w="108" w:type="dxa"/>
        <w:tblLook w:val="04A0"/>
      </w:tblPr>
      <w:tblGrid>
        <w:gridCol w:w="6521"/>
        <w:gridCol w:w="1780"/>
        <w:gridCol w:w="1481"/>
      </w:tblGrid>
      <w:tr w:rsidR="00A123B9" w:rsidRPr="000F4905" w:rsidTr="00A123B9">
        <w:trPr>
          <w:trHeight w:val="324"/>
        </w:trPr>
        <w:tc>
          <w:tcPr>
            <w:tcW w:w="652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8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672"/>
        </w:trPr>
        <w:tc>
          <w:tcPr>
            <w:tcW w:w="6521"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Дохід від амортизації дисконту за виданою позикою</w:t>
            </w:r>
          </w:p>
        </w:tc>
        <w:tc>
          <w:tcPr>
            <w:tcW w:w="178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201</w:t>
            </w:r>
          </w:p>
        </w:tc>
        <w:tc>
          <w:tcPr>
            <w:tcW w:w="1481"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6.9Інші витрати (р. 2270)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витрати за період, що закінчився 30вересня 2023року, представлені таким чином:</w:t>
      </w:r>
    </w:p>
    <w:tbl>
      <w:tblPr>
        <w:tblW w:w="9782" w:type="dxa"/>
        <w:tblInd w:w="108" w:type="dxa"/>
        <w:tblLook w:val="04A0"/>
      </w:tblPr>
      <w:tblGrid>
        <w:gridCol w:w="6521"/>
        <w:gridCol w:w="1780"/>
        <w:gridCol w:w="1481"/>
      </w:tblGrid>
      <w:tr w:rsidR="00A123B9" w:rsidRPr="000F4905" w:rsidTr="00A123B9">
        <w:trPr>
          <w:trHeight w:val="324"/>
        </w:trPr>
        <w:tc>
          <w:tcPr>
            <w:tcW w:w="652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8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672"/>
        </w:trPr>
        <w:tc>
          <w:tcPr>
            <w:tcW w:w="6521"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Витрати від первісного визнання фінансового активу у вигляді дебіторської заборгованості за справедливою вартістю на дату визнання</w:t>
            </w:r>
          </w:p>
        </w:tc>
        <w:tc>
          <w:tcPr>
            <w:tcW w:w="1780" w:type="dxa"/>
            <w:tcBorders>
              <w:top w:val="nil"/>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559</w:t>
            </w:r>
          </w:p>
        </w:tc>
        <w:tc>
          <w:tcPr>
            <w:tcW w:w="1481" w:type="dxa"/>
            <w:tcBorders>
              <w:top w:val="nil"/>
              <w:left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672"/>
        </w:trPr>
        <w:tc>
          <w:tcPr>
            <w:tcW w:w="6521"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Допомога на користь ЗСУ </w:t>
            </w:r>
          </w:p>
        </w:tc>
        <w:tc>
          <w:tcPr>
            <w:tcW w:w="1780"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81" w:type="dxa"/>
            <w:tcBorders>
              <w:top w:val="nil"/>
              <w:left w:val="nil"/>
              <w:bottom w:val="single" w:sz="4" w:space="0" w:color="auto"/>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64</w:t>
            </w:r>
          </w:p>
        </w:tc>
      </w:tr>
    </w:tbl>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                                                                                                                     559                    64</w:t>
      </w:r>
    </w:p>
    <w:p w:rsidR="00A123B9" w:rsidRPr="000F4905" w:rsidRDefault="00A123B9" w:rsidP="000F4905">
      <w:pPr>
        <w:widowControl w:val="0"/>
        <w:spacing w:after="0" w:line="240" w:lineRule="auto"/>
        <w:jc w:val="both"/>
        <w:rPr>
          <w:rFonts w:ascii="Times New Roman" w:hAnsi="Times New Roman" w:cs="Times New Roman"/>
          <w:b/>
          <w:i/>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6.10  Податок на прибуток</w:t>
      </w:r>
    </w:p>
    <w:p w:rsidR="00A123B9" w:rsidRPr="000F4905" w:rsidRDefault="00A123B9" w:rsidP="000F4905">
      <w:pPr>
        <w:pStyle w:val="af7"/>
        <w:widowControl w:val="0"/>
        <w:spacing w:after="0"/>
        <w:jc w:val="both"/>
        <w:rPr>
          <w:i/>
          <w:sz w:val="24"/>
          <w:szCs w:val="24"/>
        </w:rPr>
      </w:pPr>
      <w:r w:rsidRPr="000F4905">
        <w:rPr>
          <w:i/>
          <w:sz w:val="24"/>
          <w:szCs w:val="24"/>
        </w:rPr>
        <w:t>Поточний податок на прибуток (р.2300)</w:t>
      </w:r>
    </w:p>
    <w:p w:rsidR="00A123B9" w:rsidRPr="000F4905" w:rsidRDefault="00A123B9" w:rsidP="000F4905">
      <w:pPr>
        <w:pStyle w:val="af7"/>
        <w:widowControl w:val="0"/>
        <w:spacing w:after="0"/>
        <w:jc w:val="both"/>
        <w:rPr>
          <w:sz w:val="24"/>
          <w:szCs w:val="24"/>
        </w:rPr>
      </w:pPr>
      <w:r w:rsidRPr="000F4905">
        <w:rPr>
          <w:sz w:val="24"/>
          <w:szCs w:val="24"/>
        </w:rPr>
        <w:t>Компанія сплачує податок на прибуток за ставкою 18% та податок на дохід в розмірі 3% за договорами прямого страхування, який є частиною податку на прибуток.</w:t>
      </w:r>
    </w:p>
    <w:tbl>
      <w:tblPr>
        <w:tblW w:w="9920" w:type="dxa"/>
        <w:tblInd w:w="108" w:type="dxa"/>
        <w:tblLook w:val="04A0"/>
      </w:tblPr>
      <w:tblGrid>
        <w:gridCol w:w="6760"/>
        <w:gridCol w:w="1520"/>
        <w:gridCol w:w="1640"/>
      </w:tblGrid>
      <w:tr w:rsidR="00A123B9" w:rsidRPr="000F4905" w:rsidTr="00A123B9">
        <w:trPr>
          <w:trHeight w:val="312"/>
        </w:trPr>
        <w:tc>
          <w:tcPr>
            <w:tcW w:w="6760"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 </w:t>
            </w:r>
          </w:p>
        </w:tc>
        <w:tc>
          <w:tcPr>
            <w:tcW w:w="1520"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640"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cantSplit/>
          <w:trHeight w:val="312"/>
        </w:trPr>
        <w:tc>
          <w:tcPr>
            <w:tcW w:w="676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Податок на прибуток</w:t>
            </w:r>
          </w:p>
        </w:tc>
        <w:tc>
          <w:tcPr>
            <w:tcW w:w="152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64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cantSplit/>
          <w:trHeight w:val="312"/>
        </w:trPr>
        <w:tc>
          <w:tcPr>
            <w:tcW w:w="6760"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Поточні витрати з податку на прибуток 18%                                                  </w:t>
            </w:r>
          </w:p>
        </w:tc>
        <w:tc>
          <w:tcPr>
            <w:tcW w:w="1520"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640"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 xml:space="preserve">                  -</w:t>
            </w:r>
          </w:p>
        </w:tc>
      </w:tr>
      <w:tr w:rsidR="00A123B9" w:rsidRPr="000F4905" w:rsidTr="00A123B9">
        <w:trPr>
          <w:cantSplit/>
          <w:trHeight w:val="312"/>
        </w:trPr>
        <w:tc>
          <w:tcPr>
            <w:tcW w:w="6760"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Поточні витрати з податку на прибуток 3%                                                </w:t>
            </w:r>
          </w:p>
        </w:tc>
        <w:tc>
          <w:tcPr>
            <w:tcW w:w="1520"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60</w:t>
            </w:r>
          </w:p>
        </w:tc>
        <w:tc>
          <w:tcPr>
            <w:tcW w:w="1640"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r>
      <w:tr w:rsidR="00A123B9" w:rsidRPr="000F4905" w:rsidTr="00A123B9">
        <w:trPr>
          <w:cantSplit/>
          <w:trHeight w:val="312"/>
        </w:trPr>
        <w:tc>
          <w:tcPr>
            <w:tcW w:w="6760" w:type="dxa"/>
            <w:tcBorders>
              <w:top w:val="single" w:sz="4" w:space="0" w:color="auto"/>
              <w:left w:val="nil"/>
              <w:right w:val="nil"/>
            </w:tcBorders>
            <w:shd w:val="clear" w:color="auto" w:fill="auto"/>
            <w:noWrap/>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 податок у складі витрат періоду</w:t>
            </w:r>
          </w:p>
        </w:tc>
        <w:tc>
          <w:tcPr>
            <w:tcW w:w="1520" w:type="dxa"/>
            <w:tcBorders>
              <w:top w:val="single" w:sz="4" w:space="0" w:color="auto"/>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60</w:t>
            </w:r>
          </w:p>
        </w:tc>
        <w:tc>
          <w:tcPr>
            <w:tcW w:w="1640" w:type="dxa"/>
            <w:tcBorders>
              <w:top w:val="single" w:sz="4" w:space="0" w:color="auto"/>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10</w:t>
            </w:r>
          </w:p>
        </w:tc>
      </w:tr>
    </w:tbl>
    <w:p w:rsidR="00A123B9" w:rsidRPr="000F4905" w:rsidRDefault="00A123B9" w:rsidP="000F4905">
      <w:pPr>
        <w:widowControl w:val="0"/>
        <w:spacing w:after="0" w:line="240" w:lineRule="auto"/>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color w:val="333333"/>
          <w:sz w:val="24"/>
          <w:szCs w:val="24"/>
          <w:shd w:val="clear" w:color="auto" w:fill="FFFFFF"/>
        </w:rPr>
      </w:pPr>
      <w:r w:rsidRPr="000F4905">
        <w:rPr>
          <w:rFonts w:ascii="Times New Roman" w:eastAsia="Calibri" w:hAnsi="Times New Roman" w:cs="Times New Roman"/>
          <w:sz w:val="24"/>
          <w:szCs w:val="24"/>
          <w:lang w:eastAsia="en-US"/>
        </w:rPr>
        <w:t>Якщо бухгалтерський річний дохід від будь-якої діяльності (за вирахуванням непрямих податків) за останній рік не перевищує 40 млн. грн., об’єкт оподаткування може визначатися без коригування фінансового результату до оподаткування на всі різниці, окрім від’ємного значення  об’єкта оподаткування минулих податкових (звітних) років.</w:t>
      </w:r>
      <w:r w:rsidR="000F4905" w:rsidRPr="007E1CED">
        <w:rPr>
          <w:rFonts w:ascii="Times New Roman" w:eastAsia="Calibri" w:hAnsi="Times New Roman" w:cs="Times New Roman"/>
          <w:sz w:val="24"/>
          <w:szCs w:val="24"/>
          <w:lang w:eastAsia="en-US"/>
        </w:rPr>
        <w:t xml:space="preserve"> </w:t>
      </w:r>
      <w:r w:rsidRPr="000F4905">
        <w:rPr>
          <w:rFonts w:ascii="Times New Roman" w:eastAsia="Calibri" w:hAnsi="Times New Roman" w:cs="Times New Roman"/>
          <w:sz w:val="24"/>
          <w:szCs w:val="24"/>
          <w:lang w:eastAsia="en-US"/>
        </w:rPr>
        <w:t>В 2021 році</w:t>
      </w:r>
      <w:r w:rsidR="000F4905" w:rsidRPr="007E1CED">
        <w:rPr>
          <w:rFonts w:ascii="Times New Roman" w:eastAsia="Calibri" w:hAnsi="Times New Roman" w:cs="Times New Roman"/>
          <w:sz w:val="24"/>
          <w:szCs w:val="24"/>
          <w:lang w:eastAsia="en-US"/>
        </w:rPr>
        <w:t xml:space="preserve"> </w:t>
      </w:r>
      <w:r w:rsidRPr="000F4905">
        <w:rPr>
          <w:rFonts w:ascii="Times New Roman" w:eastAsia="Calibri" w:hAnsi="Times New Roman" w:cs="Times New Roman"/>
          <w:sz w:val="24"/>
          <w:szCs w:val="24"/>
          <w:lang w:eastAsia="en-US"/>
        </w:rPr>
        <w:t xml:space="preserve">Компанією </w:t>
      </w:r>
      <w:r w:rsidRPr="000F4905">
        <w:rPr>
          <w:rFonts w:ascii="Times New Roman" w:hAnsi="Times New Roman" w:cs="Times New Roman"/>
          <w:color w:val="333333"/>
          <w:sz w:val="24"/>
          <w:szCs w:val="24"/>
          <w:shd w:val="clear" w:color="auto" w:fill="FFFFFF"/>
        </w:rPr>
        <w:t xml:space="preserve">прийнято рішення про незастосування коригувань фінансового результату до оподаткування на усі різниці </w:t>
      </w:r>
      <w:r w:rsidRPr="000F4905">
        <w:rPr>
          <w:rFonts w:ascii="Times New Roman" w:hAnsi="Times New Roman" w:cs="Times New Roman"/>
          <w:color w:val="333333"/>
          <w:sz w:val="24"/>
          <w:szCs w:val="24"/>
          <w:shd w:val="clear" w:color="auto" w:fill="FFFFFF"/>
        </w:rPr>
        <w:lastRenderedPageBreak/>
        <w:t>(крім від’ємного значення об’єкта оподаткування минулих податкових (звітних) років), визначені відповідно до положень розділу ІІІ ПКУ.</w:t>
      </w:r>
    </w:p>
    <w:p w:rsidR="00A123B9" w:rsidRPr="000F4905" w:rsidRDefault="00A123B9" w:rsidP="000F4905">
      <w:pPr>
        <w:widowControl w:val="0"/>
        <w:spacing w:after="0" w:line="240" w:lineRule="auto"/>
        <w:jc w:val="both"/>
        <w:rPr>
          <w:rFonts w:ascii="Times New Roman" w:eastAsia="Calibri" w:hAnsi="Times New Roman" w:cs="Times New Roman"/>
          <w:sz w:val="24"/>
          <w:szCs w:val="24"/>
          <w:lang w:eastAsia="en-US"/>
        </w:rPr>
      </w:pP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7. Примітки до Звіту про рух грошових коштів (за прямим методом)</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7.1 Інші надходження від операційної діяльності (р. 3095)</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надходження від операційної діяльності за період, що закінчився 30вересня2023 року, представлені наступним чином:</w:t>
      </w:r>
    </w:p>
    <w:tbl>
      <w:tblPr>
        <w:tblW w:w="9781" w:type="dxa"/>
        <w:tblInd w:w="108" w:type="dxa"/>
        <w:tblLook w:val="04A0"/>
      </w:tblPr>
      <w:tblGrid>
        <w:gridCol w:w="5812"/>
        <w:gridCol w:w="2268"/>
        <w:gridCol w:w="1701"/>
      </w:tblGrid>
      <w:tr w:rsidR="00A123B9" w:rsidRPr="000F4905" w:rsidTr="00A123B9">
        <w:trPr>
          <w:trHeight w:val="324"/>
        </w:trPr>
        <w:tc>
          <w:tcPr>
            <w:tcW w:w="5812"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70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81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Страхові премії згідно договору доручення про надання агентських послуг по страхуванню               </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Винагорода за додаткові послуги у сфері страхування</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highlight w:val="yellow"/>
              </w:rPr>
            </w:pPr>
            <w:r w:rsidRPr="000F4905">
              <w:rPr>
                <w:rFonts w:ascii="Times New Roman" w:hAnsi="Times New Roman" w:cs="Times New Roman"/>
                <w:sz w:val="24"/>
                <w:szCs w:val="24"/>
              </w:rPr>
              <w:t xml:space="preserve">Відшкодування збитку внаслідок пошкодженого автомобіля компанії </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73</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79</w:t>
            </w:r>
          </w:p>
        </w:tc>
        <w:tc>
          <w:tcPr>
            <w:tcW w:w="1701"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12</w:t>
            </w:r>
          </w:p>
        </w:tc>
      </w:tr>
    </w:tbl>
    <w:p w:rsidR="00A123B9" w:rsidRPr="000F4905" w:rsidRDefault="00A123B9" w:rsidP="000F4905">
      <w:pPr>
        <w:widowControl w:val="0"/>
        <w:spacing w:after="0" w:line="240" w:lineRule="auto"/>
        <w:jc w:val="both"/>
        <w:rPr>
          <w:rFonts w:ascii="Times New Roman" w:hAnsi="Times New Roman" w:cs="Times New Roman"/>
          <w:b/>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7.2Інші витрачання від операційної діяльності (р. 3190)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Інші витрачання від операційної діяльності за період, що закінчився 30вересня 2023 року, представлені наступним чином:</w:t>
      </w:r>
    </w:p>
    <w:tbl>
      <w:tblPr>
        <w:tblW w:w="9781" w:type="dxa"/>
        <w:tblInd w:w="108" w:type="dxa"/>
        <w:tblLook w:val="04A0"/>
      </w:tblPr>
      <w:tblGrid>
        <w:gridCol w:w="5812"/>
        <w:gridCol w:w="2268"/>
        <w:gridCol w:w="1701"/>
      </w:tblGrid>
      <w:tr w:rsidR="00A123B9" w:rsidRPr="000F4905" w:rsidTr="00A123B9">
        <w:trPr>
          <w:trHeight w:val="324"/>
        </w:trPr>
        <w:tc>
          <w:tcPr>
            <w:tcW w:w="5812"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701"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Страхові премії згідно договору доручення про надання агентських послуг по страхуванню</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Допомога на користь ЗСУ</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64</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Допомога у зв’язку з вагітністю та пологами (цільове фінансування)</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60</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Позика працівнику</w:t>
            </w:r>
          </w:p>
        </w:tc>
        <w:tc>
          <w:tcPr>
            <w:tcW w:w="2268"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2 120</w:t>
            </w:r>
          </w:p>
        </w:tc>
        <w:tc>
          <w:tcPr>
            <w:tcW w:w="1701"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5812"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2 183</w:t>
            </w:r>
          </w:p>
        </w:tc>
        <w:tc>
          <w:tcPr>
            <w:tcW w:w="1701" w:type="dxa"/>
            <w:tcBorders>
              <w:top w:val="single" w:sz="4" w:space="0" w:color="auto"/>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68</w:t>
            </w:r>
          </w:p>
        </w:tc>
      </w:tr>
    </w:tbl>
    <w:p w:rsidR="00A123B9" w:rsidRPr="000F4905" w:rsidRDefault="00A123B9" w:rsidP="000F4905">
      <w:pPr>
        <w:widowControl w:val="0"/>
        <w:spacing w:after="0" w:line="240" w:lineRule="auto"/>
        <w:jc w:val="both"/>
        <w:rPr>
          <w:rFonts w:ascii="Times New Roman" w:hAnsi="Times New Roman" w:cs="Times New Roman"/>
          <w:b/>
          <w:sz w:val="24"/>
          <w:szCs w:val="24"/>
        </w:rPr>
      </w:pPr>
    </w:p>
    <w:p w:rsidR="00A123B9" w:rsidRPr="000F4905" w:rsidRDefault="00A123B9" w:rsidP="000F4905">
      <w:pPr>
        <w:pStyle w:val="af6"/>
        <w:widowControl w:val="0"/>
        <w:spacing w:before="0" w:beforeAutospacing="0" w:after="0" w:afterAutospacing="0"/>
        <w:jc w:val="both"/>
        <w:rPr>
          <w:b/>
          <w:lang w:val="uk-UA"/>
        </w:rPr>
      </w:pPr>
      <w:r w:rsidRPr="000F4905">
        <w:rPr>
          <w:b/>
          <w:lang w:val="uk-UA"/>
        </w:rPr>
        <w:t>8. Розкриття інформації про пов’язані сторони</w:t>
      </w:r>
    </w:p>
    <w:p w:rsidR="00A123B9" w:rsidRPr="000F4905" w:rsidRDefault="00A123B9" w:rsidP="000F4905">
      <w:pPr>
        <w:pStyle w:val="af6"/>
        <w:widowControl w:val="0"/>
        <w:spacing w:before="0" w:beforeAutospacing="0" w:after="0" w:afterAutospacing="0"/>
        <w:jc w:val="both"/>
        <w:rPr>
          <w:lang w:val="uk-UA"/>
        </w:rPr>
      </w:pPr>
      <w:r w:rsidRPr="000F4905">
        <w:rPr>
          <w:lang w:val="uk-UA"/>
        </w:rPr>
        <w:t>До пов’язаних сторін або операцій з пов’язаними сторонами належать:</w:t>
      </w:r>
    </w:p>
    <w:p w:rsidR="00A123B9" w:rsidRPr="000F4905" w:rsidRDefault="00A123B9" w:rsidP="000F4905">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акціонери Компанії, частка володіння яких становить понад 20%;</w:t>
      </w:r>
    </w:p>
    <w:p w:rsidR="00A123B9" w:rsidRPr="000F4905" w:rsidRDefault="00A123B9" w:rsidP="000F4905">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члени провідного управлінського персоналу Компанії;</w:t>
      </w:r>
    </w:p>
    <w:p w:rsidR="00A123B9" w:rsidRPr="000F4905" w:rsidRDefault="00A123B9" w:rsidP="000F4905">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F4905">
        <w:rPr>
          <w:rFonts w:ascii="Times New Roman" w:hAnsi="Times New Roman" w:cs="Times New Roman"/>
          <w:sz w:val="24"/>
          <w:szCs w:val="24"/>
          <w:lang w:eastAsia="en-US"/>
        </w:rPr>
        <w:t>близькі родичі осіб, зазначених вище;</w:t>
      </w:r>
    </w:p>
    <w:p w:rsidR="00A123B9" w:rsidRPr="000F4905" w:rsidRDefault="00A123B9" w:rsidP="000F4905">
      <w:pPr>
        <w:widowControl w:val="0"/>
        <w:numPr>
          <w:ilvl w:val="0"/>
          <w:numId w:val="12"/>
        </w:numPr>
        <w:spacing w:after="0" w:line="240" w:lineRule="auto"/>
        <w:ind w:left="993" w:hanging="426"/>
        <w:jc w:val="both"/>
        <w:rPr>
          <w:rFonts w:ascii="Times New Roman" w:hAnsi="Times New Roman" w:cs="Times New Roman"/>
          <w:sz w:val="24"/>
          <w:szCs w:val="24"/>
        </w:rPr>
      </w:pPr>
      <w:r w:rsidRPr="000F4905">
        <w:rPr>
          <w:rFonts w:ascii="Times New Roman" w:hAnsi="Times New Roman" w:cs="Times New Roman"/>
          <w:sz w:val="24"/>
          <w:szCs w:val="24"/>
          <w:lang w:eastAsia="en-US"/>
        </w:rPr>
        <w:t>особи, що контролюють Компанію, або здійснюють суттєвий вплив.</w:t>
      </w:r>
    </w:p>
    <w:p w:rsidR="00A123B9" w:rsidRPr="000F4905" w:rsidRDefault="00A123B9" w:rsidP="000F4905">
      <w:pPr>
        <w:pStyle w:val="af6"/>
        <w:widowControl w:val="0"/>
        <w:spacing w:before="0" w:beforeAutospacing="0" w:after="0" w:afterAutospacing="0"/>
        <w:jc w:val="both"/>
        <w:rPr>
          <w:lang w:val="uk-UA"/>
        </w:rPr>
      </w:pPr>
      <w:r w:rsidRPr="000F4905">
        <w:rPr>
          <w:lang w:val="uk-UA"/>
        </w:rPr>
        <w:t>Пов’язаними сторонами Компанії є провідний управлінський персонал в особі Голови правління Гусєвої І.О., та акціонери Компанії, які володіють більше 20% акцій – Яцько В.В. та Гаманков В.І.</w:t>
      </w:r>
    </w:p>
    <w:p w:rsidR="00A123B9" w:rsidRPr="000F4905" w:rsidRDefault="00A123B9" w:rsidP="000F4905">
      <w:pPr>
        <w:pStyle w:val="af6"/>
        <w:widowControl w:val="0"/>
        <w:spacing w:before="0" w:beforeAutospacing="0" w:after="0" w:afterAutospacing="0"/>
        <w:jc w:val="both"/>
        <w:rPr>
          <w:lang w:val="uk-UA"/>
        </w:rPr>
      </w:pPr>
      <w:r w:rsidRPr="000F4905">
        <w:rPr>
          <w:lang w:val="uk-UA"/>
        </w:rPr>
        <w:t>Протягом звітних періодів пов’язаними сторонами були акціонери Компанії, частка володіння яких становить понад 20%.</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Операції с пов’язаними особами за період, що закінчився 30вересня 2023 року</w:t>
      </w:r>
      <w:r w:rsidR="000F4905" w:rsidRPr="000F4905">
        <w:rPr>
          <w:rFonts w:ascii="Times New Roman" w:hAnsi="Times New Roman" w:cs="Times New Roman"/>
          <w:sz w:val="24"/>
          <w:szCs w:val="24"/>
          <w:lang w:val="ru-RU"/>
        </w:rPr>
        <w:t xml:space="preserve"> </w:t>
      </w:r>
      <w:r w:rsidRPr="000F4905">
        <w:rPr>
          <w:rFonts w:ascii="Times New Roman" w:hAnsi="Times New Roman" w:cs="Times New Roman"/>
          <w:sz w:val="24"/>
          <w:szCs w:val="24"/>
        </w:rPr>
        <w:t>представлені наступним чином:</w:t>
      </w:r>
    </w:p>
    <w:tbl>
      <w:tblPr>
        <w:tblW w:w="9781" w:type="dxa"/>
        <w:tblInd w:w="108" w:type="dxa"/>
        <w:tblLook w:val="04A0"/>
      </w:tblPr>
      <w:tblGrid>
        <w:gridCol w:w="6663"/>
        <w:gridCol w:w="1559"/>
        <w:gridCol w:w="1559"/>
      </w:tblGrid>
      <w:tr w:rsidR="00A123B9" w:rsidRPr="000F4905" w:rsidTr="00A123B9">
        <w:trPr>
          <w:trHeight w:val="324"/>
        </w:trPr>
        <w:tc>
          <w:tcPr>
            <w:tcW w:w="6663"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w:t>
            </w:r>
          </w:p>
        </w:tc>
        <w:tc>
          <w:tcPr>
            <w:tcW w:w="1559"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559" w:type="dxa"/>
            <w:tcBorders>
              <w:top w:val="nil"/>
              <w:left w:val="nil"/>
              <w:bottom w:val="single" w:sz="8" w:space="0" w:color="auto"/>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666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xml:space="preserve">Оплата праці  </w:t>
            </w:r>
          </w:p>
        </w:tc>
        <w:tc>
          <w:tcPr>
            <w:tcW w:w="1559"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670</w:t>
            </w:r>
          </w:p>
        </w:tc>
        <w:tc>
          <w:tcPr>
            <w:tcW w:w="1559"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480</w:t>
            </w:r>
          </w:p>
        </w:tc>
      </w:tr>
      <w:tr w:rsidR="00A123B9" w:rsidRPr="000F4905" w:rsidTr="00A123B9">
        <w:trPr>
          <w:trHeight w:val="312"/>
        </w:trPr>
        <w:tc>
          <w:tcPr>
            <w:tcW w:w="6663"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Винагорода за договором підряда</w:t>
            </w:r>
          </w:p>
        </w:tc>
        <w:tc>
          <w:tcPr>
            <w:tcW w:w="1559"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w:t>
            </w:r>
          </w:p>
        </w:tc>
        <w:tc>
          <w:tcPr>
            <w:tcW w:w="1559" w:type="dxa"/>
            <w:tcBorders>
              <w:top w:val="nil"/>
              <w:left w:val="nil"/>
              <w:bottom w:val="nil"/>
              <w:right w:val="nil"/>
            </w:tcBorders>
            <w:shd w:val="clear" w:color="auto" w:fill="auto"/>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pStyle w:val="1"/>
        <w:widowControl w:val="0"/>
        <w:pBdr>
          <w:bottom w:val="none" w:sz="0" w:space="0" w:color="auto"/>
        </w:pBdr>
        <w:spacing w:before="0"/>
        <w:jc w:val="both"/>
        <w:rPr>
          <w:rFonts w:ascii="Times New Roman" w:hAnsi="Times New Roman"/>
          <w:b/>
          <w:caps w:val="0"/>
          <w:color w:val="auto"/>
          <w:spacing w:val="0"/>
          <w:sz w:val="24"/>
          <w:szCs w:val="24"/>
        </w:rPr>
      </w:pPr>
      <w:r w:rsidRPr="000F4905">
        <w:rPr>
          <w:rFonts w:ascii="Times New Roman" w:hAnsi="Times New Roman"/>
          <w:b/>
          <w:caps w:val="0"/>
          <w:color w:val="auto"/>
          <w:spacing w:val="0"/>
          <w:sz w:val="24"/>
          <w:szCs w:val="24"/>
        </w:rPr>
        <w:t>9. Розкриття інформації щодо використання справедливої вартості</w:t>
      </w:r>
    </w:p>
    <w:p w:rsidR="00A123B9" w:rsidRPr="000F4905" w:rsidRDefault="00A123B9" w:rsidP="000F4905">
      <w:pPr>
        <w:pStyle w:val="af7"/>
        <w:widowControl w:val="0"/>
        <w:spacing w:after="0"/>
        <w:jc w:val="both"/>
        <w:rPr>
          <w:sz w:val="24"/>
          <w:szCs w:val="24"/>
        </w:rPr>
      </w:pPr>
      <w:r w:rsidRPr="000F4905">
        <w:rPr>
          <w:sz w:val="24"/>
          <w:szCs w:val="24"/>
        </w:rPr>
        <w:t>Справедлива вартість фінансових активів і фінансових зобов'язань, які обертаються на активному ринку, ґрунтується на котируваннях активних ринків або котируваннях дилерів. Для всіх інших фінансових інструментів,  Компанія визначає справедливу вартість із використанням методів оцінки.</w:t>
      </w:r>
    </w:p>
    <w:p w:rsidR="00A123B9" w:rsidRPr="000F4905" w:rsidRDefault="00A123B9" w:rsidP="000F4905">
      <w:pPr>
        <w:pStyle w:val="af7"/>
        <w:widowControl w:val="0"/>
        <w:spacing w:after="0"/>
        <w:jc w:val="both"/>
        <w:rPr>
          <w:sz w:val="24"/>
          <w:szCs w:val="24"/>
        </w:rPr>
      </w:pPr>
      <w:r w:rsidRPr="000F4905">
        <w:rPr>
          <w:sz w:val="24"/>
          <w:szCs w:val="24"/>
        </w:rPr>
        <w:t xml:space="preserve">Методи оцінки включають моделі оцінки чистої наведеної до теперішнього моменту вартості й </w:t>
      </w:r>
      <w:r w:rsidRPr="000F4905">
        <w:rPr>
          <w:sz w:val="24"/>
          <w:szCs w:val="24"/>
        </w:rPr>
        <w:lastRenderedPageBreak/>
        <w:t>дисконтування потоків грошових коштів, порівняння зі схожими інструментами, у відношенні яких відомі ринкові котирування, а також інші моделі оцінки. Допущення й дані, що використовуються для оцінки, включають безризикові й базові процентні ставки, кредитні спреди та інші премії, використовувані для оцінки ставок дисконтування котирування акцій і облігацій, валютні курси, фондові індекси, а також очікувані коливання цін і їх зіставлення. Методи оцінки спрямовані на визначення справедливої вартості, що відображає вартість фінансового інструмента  станом на звітну дату, яка була б визначена незалежними учасниками ринку.</w:t>
      </w:r>
    </w:p>
    <w:p w:rsidR="00A123B9" w:rsidRPr="000F4905" w:rsidRDefault="00A123B9" w:rsidP="000F4905">
      <w:pPr>
        <w:pStyle w:val="2"/>
        <w:widowControl w:val="0"/>
        <w:pBdr>
          <w:bottom w:val="none" w:sz="0" w:space="0" w:color="auto"/>
        </w:pBdr>
        <w:tabs>
          <w:tab w:val="left" w:pos="0"/>
        </w:tabs>
        <w:spacing w:before="0"/>
        <w:jc w:val="both"/>
        <w:rPr>
          <w:rFonts w:ascii="Times New Roman" w:hAnsi="Times New Roman"/>
          <w:i/>
          <w:caps w:val="0"/>
          <w:color w:val="auto"/>
          <w:spacing w:val="0"/>
        </w:rPr>
      </w:pPr>
      <w:r w:rsidRPr="000F4905">
        <w:rPr>
          <w:rFonts w:ascii="Times New Roman" w:hAnsi="Times New Roman"/>
          <w:i/>
          <w:caps w:val="0"/>
          <w:color w:val="auto"/>
          <w:spacing w:val="0"/>
        </w:rPr>
        <w:t>Ієрархія оцінок справедливої вартості</w:t>
      </w:r>
    </w:p>
    <w:p w:rsidR="00A123B9" w:rsidRPr="000F4905" w:rsidRDefault="00A123B9" w:rsidP="000F4905">
      <w:pPr>
        <w:pStyle w:val="af7"/>
        <w:widowControl w:val="0"/>
        <w:spacing w:after="0"/>
        <w:jc w:val="both"/>
        <w:rPr>
          <w:sz w:val="24"/>
          <w:szCs w:val="24"/>
        </w:rPr>
      </w:pPr>
      <w:r w:rsidRPr="000F4905">
        <w:rPr>
          <w:sz w:val="24"/>
          <w:szCs w:val="24"/>
        </w:rPr>
        <w:t>Компанія оцінює справедливу вартість фінансових інструментів, відображених у звіті про фінансовий стан з використанням наступної ієрархії оцінок справедливої вартості, що враховує істотність даних, використовуваних при формуванні зазначених оцінок.</w:t>
      </w:r>
    </w:p>
    <w:p w:rsidR="00A123B9" w:rsidRPr="000F4905" w:rsidRDefault="00A123B9" w:rsidP="000F4905">
      <w:pPr>
        <w:pStyle w:val="af7"/>
        <w:widowControl w:val="0"/>
        <w:spacing w:after="0"/>
        <w:jc w:val="both"/>
        <w:rPr>
          <w:sz w:val="24"/>
          <w:szCs w:val="24"/>
        </w:rPr>
      </w:pPr>
      <w:r w:rsidRPr="000F4905">
        <w:rPr>
          <w:sz w:val="24"/>
          <w:szCs w:val="24"/>
        </w:rPr>
        <w:t>Рівень 1: Котирування на активному ринку у відношенні ідентичних фінансових інструментів. Рівень 2: Методи оцінки, що базуються на ринкових даних, доступних безпосередньо (тобто котируваннях) або опосередковано (тобто даних, похідних від котирувань). Дана категорія включає інструменти, оцінювані з використанням: ринкових котирувань на активних ринках для схожих інструментів, ринкових котирувань для ідентичних або схожих інструментів на ринках, не розглянутих у якості активних, або інших методів оцінки, усі використовувані дані яких безпосередньо або опосередковано ґрунтуються на загальнодоступних ринкових даних.</w:t>
      </w:r>
    </w:p>
    <w:p w:rsidR="00A123B9" w:rsidRPr="000F4905" w:rsidRDefault="00A123B9" w:rsidP="000F4905">
      <w:pPr>
        <w:pStyle w:val="af7"/>
        <w:widowControl w:val="0"/>
        <w:spacing w:after="0"/>
        <w:jc w:val="both"/>
        <w:rPr>
          <w:sz w:val="24"/>
          <w:szCs w:val="24"/>
        </w:rPr>
      </w:pPr>
      <w:r w:rsidRPr="000F4905">
        <w:rPr>
          <w:sz w:val="24"/>
          <w:szCs w:val="24"/>
        </w:rPr>
        <w:t>Рівень 3: Методи оцінки, засновані на даних, які не є загальнодоступними на ринку. Дана категорія включає інструменти, оцінювані з використанням інформації, не заснованої на загальнодоступних ринкових даних, притому, що такі дані, що не є загальнодоступними на ринку, впливають на оцінку інструмента. Дана категорія включає інструменти, оцінювані на підставі котирувань для схожих інструментів, у відношенні яких потрібно використання істотних коригувань, що не є загальнодоступними на ринку, або суджень для відбиття різниці між інструментами.</w:t>
      </w:r>
    </w:p>
    <w:p w:rsidR="00A123B9" w:rsidRPr="000F4905" w:rsidRDefault="00A123B9" w:rsidP="000F4905">
      <w:pPr>
        <w:pStyle w:val="af7"/>
        <w:widowControl w:val="0"/>
        <w:spacing w:after="0"/>
        <w:jc w:val="both"/>
        <w:rPr>
          <w:sz w:val="24"/>
          <w:szCs w:val="24"/>
        </w:rPr>
      </w:pPr>
      <w:r w:rsidRPr="000F4905">
        <w:rPr>
          <w:sz w:val="24"/>
          <w:szCs w:val="24"/>
        </w:rPr>
        <w:t>В таблиці надалі наведений аналіз фінансових інструментів, відображених за справедливою вартістю в розрізі рівнів ієрархії справедливої вартості.</w:t>
      </w:r>
    </w:p>
    <w:p w:rsidR="00A123B9" w:rsidRPr="000F4905" w:rsidRDefault="00A123B9" w:rsidP="000F4905">
      <w:pPr>
        <w:pStyle w:val="af7"/>
        <w:widowControl w:val="0"/>
        <w:spacing w:after="0"/>
        <w:jc w:val="both"/>
        <w:rPr>
          <w:sz w:val="24"/>
          <w:szCs w:val="24"/>
        </w:rPr>
      </w:pPr>
      <w:r w:rsidRPr="000F4905">
        <w:rPr>
          <w:sz w:val="24"/>
          <w:szCs w:val="24"/>
        </w:rPr>
        <w:t>Станом на 30вересня 2023 р.:</w:t>
      </w:r>
    </w:p>
    <w:tbl>
      <w:tblPr>
        <w:tblW w:w="9844" w:type="dxa"/>
        <w:tblInd w:w="108" w:type="dxa"/>
        <w:tblLook w:val="04A0"/>
      </w:tblPr>
      <w:tblGrid>
        <w:gridCol w:w="2268"/>
        <w:gridCol w:w="1985"/>
        <w:gridCol w:w="2540"/>
        <w:gridCol w:w="2092"/>
        <w:gridCol w:w="959"/>
      </w:tblGrid>
      <w:tr w:rsidR="00A123B9" w:rsidRPr="000F4905" w:rsidTr="00A123B9">
        <w:trPr>
          <w:trHeight w:val="1560"/>
        </w:trPr>
        <w:tc>
          <w:tcPr>
            <w:tcW w:w="2268"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 xml:space="preserve">Спостережувані ринкові ціни </w:t>
            </w:r>
            <w:r w:rsidRPr="000F4905">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 xml:space="preserve">Розрахункові дані на основі спостережуваних ринкових цін </w:t>
            </w:r>
            <w:r w:rsidRPr="000F4905">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Розрахункові дані не на основі спостережуваних ринкових цін</w:t>
            </w:r>
            <w:r w:rsidRPr="000F4905">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r>
      <w:tr w:rsidR="00A123B9" w:rsidRPr="000F4905" w:rsidTr="00A123B9">
        <w:trPr>
          <w:trHeight w:val="312"/>
        </w:trPr>
        <w:tc>
          <w:tcPr>
            <w:tcW w:w="2268"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r>
      <w:tr w:rsidR="00A123B9" w:rsidRPr="000F4905" w:rsidTr="00A123B9">
        <w:trPr>
          <w:trHeight w:val="312"/>
        </w:trPr>
        <w:tc>
          <w:tcPr>
            <w:tcW w:w="2268"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Грошові кошти та їх еквіваленти</w:t>
            </w:r>
          </w:p>
        </w:tc>
        <w:tc>
          <w:tcPr>
            <w:tcW w:w="1985"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47935</w:t>
            </w:r>
          </w:p>
        </w:tc>
        <w:tc>
          <w:tcPr>
            <w:tcW w:w="2092"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59"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47 935</w:t>
            </w:r>
          </w:p>
        </w:tc>
      </w:tr>
      <w:tr w:rsidR="00A123B9" w:rsidRPr="000F4905" w:rsidTr="00A123B9">
        <w:trPr>
          <w:trHeight w:val="312"/>
        </w:trPr>
        <w:tc>
          <w:tcPr>
            <w:tcW w:w="2268"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47 935</w:t>
            </w:r>
          </w:p>
        </w:tc>
        <w:tc>
          <w:tcPr>
            <w:tcW w:w="20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b/>
                <w:sz w:val="24"/>
                <w:szCs w:val="24"/>
              </w:rPr>
              <w:t>-</w:t>
            </w:r>
          </w:p>
        </w:tc>
        <w:tc>
          <w:tcPr>
            <w:tcW w:w="9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47 935</w:t>
            </w:r>
          </w:p>
        </w:tc>
      </w:tr>
    </w:tbl>
    <w:p w:rsidR="00A123B9" w:rsidRPr="000F4905" w:rsidRDefault="00A123B9" w:rsidP="000F4905">
      <w:pPr>
        <w:pStyle w:val="af7"/>
        <w:widowControl w:val="0"/>
        <w:spacing w:after="0"/>
        <w:jc w:val="both"/>
        <w:rPr>
          <w:sz w:val="24"/>
          <w:szCs w:val="24"/>
        </w:rPr>
      </w:pPr>
    </w:p>
    <w:p w:rsidR="00A123B9" w:rsidRPr="000F4905" w:rsidRDefault="00A123B9" w:rsidP="000F4905">
      <w:pPr>
        <w:pStyle w:val="af7"/>
        <w:widowControl w:val="0"/>
        <w:spacing w:after="0"/>
        <w:jc w:val="both"/>
        <w:rPr>
          <w:sz w:val="24"/>
          <w:szCs w:val="24"/>
        </w:rPr>
      </w:pPr>
      <w:r w:rsidRPr="000F4905">
        <w:rPr>
          <w:sz w:val="24"/>
          <w:szCs w:val="24"/>
        </w:rPr>
        <w:t>Станом на 30вересня 2022 р.:</w:t>
      </w:r>
    </w:p>
    <w:tbl>
      <w:tblPr>
        <w:tblW w:w="9844" w:type="dxa"/>
        <w:tblInd w:w="108" w:type="dxa"/>
        <w:tblLook w:val="04A0"/>
      </w:tblPr>
      <w:tblGrid>
        <w:gridCol w:w="2268"/>
        <w:gridCol w:w="1985"/>
        <w:gridCol w:w="2540"/>
        <w:gridCol w:w="2092"/>
        <w:gridCol w:w="959"/>
      </w:tblGrid>
      <w:tr w:rsidR="00A123B9" w:rsidRPr="000F4905" w:rsidTr="00A123B9">
        <w:trPr>
          <w:trHeight w:val="1560"/>
        </w:trPr>
        <w:tc>
          <w:tcPr>
            <w:tcW w:w="2268"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 xml:space="preserve">Спостережувані ринкові ціни </w:t>
            </w:r>
            <w:r w:rsidRPr="000F4905">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 xml:space="preserve">Розрахункові дані на основі спостережуваних ринкових цін </w:t>
            </w:r>
            <w:r w:rsidRPr="000F4905">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Розрахункові дані не на основі спостережуваних ринкових цін</w:t>
            </w:r>
            <w:r w:rsidRPr="000F4905">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center"/>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r>
      <w:tr w:rsidR="00A123B9" w:rsidRPr="000F4905" w:rsidTr="00A123B9">
        <w:trPr>
          <w:trHeight w:val="312"/>
        </w:trPr>
        <w:tc>
          <w:tcPr>
            <w:tcW w:w="2268"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r>
      <w:tr w:rsidR="00A123B9" w:rsidRPr="000F4905" w:rsidTr="00A123B9">
        <w:trPr>
          <w:trHeight w:val="312"/>
        </w:trPr>
        <w:tc>
          <w:tcPr>
            <w:tcW w:w="2268"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lastRenderedPageBreak/>
              <w:t>Грошові кошти та їх еквіваленти</w:t>
            </w:r>
          </w:p>
        </w:tc>
        <w:tc>
          <w:tcPr>
            <w:tcW w:w="1985" w:type="dxa"/>
            <w:tcBorders>
              <w:top w:val="nil"/>
              <w:left w:val="nil"/>
              <w:bottom w:val="single" w:sz="4" w:space="0" w:color="auto"/>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50032</w:t>
            </w:r>
          </w:p>
        </w:tc>
        <w:tc>
          <w:tcPr>
            <w:tcW w:w="2092"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59"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50 032</w:t>
            </w:r>
          </w:p>
        </w:tc>
      </w:tr>
      <w:tr w:rsidR="00A123B9" w:rsidRPr="000F4905" w:rsidTr="00A123B9">
        <w:trPr>
          <w:trHeight w:val="312"/>
        </w:trPr>
        <w:tc>
          <w:tcPr>
            <w:tcW w:w="2268"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
                <w:sz w:val="24"/>
                <w:szCs w:val="24"/>
              </w:rPr>
              <w:t>50032</w:t>
            </w:r>
          </w:p>
        </w:tc>
        <w:tc>
          <w:tcPr>
            <w:tcW w:w="2092"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59"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50032</w:t>
            </w:r>
          </w:p>
        </w:tc>
      </w:tr>
    </w:tbl>
    <w:p w:rsidR="00A123B9" w:rsidRPr="000F4905" w:rsidRDefault="00A123B9" w:rsidP="000F4905">
      <w:pPr>
        <w:pStyle w:val="af7"/>
        <w:widowControl w:val="0"/>
        <w:spacing w:after="0"/>
        <w:jc w:val="both"/>
        <w:rPr>
          <w:sz w:val="24"/>
          <w:szCs w:val="24"/>
        </w:rPr>
      </w:pPr>
    </w:p>
    <w:p w:rsidR="00A123B9" w:rsidRPr="000F4905" w:rsidRDefault="00A123B9" w:rsidP="000F4905">
      <w:pPr>
        <w:pStyle w:val="af7"/>
        <w:widowControl w:val="0"/>
        <w:spacing w:after="0"/>
        <w:jc w:val="both"/>
        <w:rPr>
          <w:sz w:val="24"/>
          <w:szCs w:val="24"/>
        </w:rPr>
      </w:pPr>
      <w:r w:rsidRPr="000F4905">
        <w:rPr>
          <w:sz w:val="24"/>
          <w:szCs w:val="24"/>
        </w:rPr>
        <w:t>Справедлива вартість фінансових інструментів в порівнянні з їх балансовою вартістю:</w:t>
      </w:r>
    </w:p>
    <w:tbl>
      <w:tblPr>
        <w:tblW w:w="9781" w:type="dxa"/>
        <w:tblInd w:w="108" w:type="dxa"/>
        <w:tblLook w:val="04A0"/>
      </w:tblPr>
      <w:tblGrid>
        <w:gridCol w:w="3686"/>
        <w:gridCol w:w="1701"/>
        <w:gridCol w:w="1296"/>
        <w:gridCol w:w="1701"/>
        <w:gridCol w:w="1417"/>
      </w:tblGrid>
      <w:tr w:rsidR="00A123B9" w:rsidRPr="000F4905" w:rsidTr="00A123B9">
        <w:trPr>
          <w:trHeight w:val="312"/>
        </w:trPr>
        <w:tc>
          <w:tcPr>
            <w:tcW w:w="3686"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p>
        </w:tc>
        <w:tc>
          <w:tcPr>
            <w:tcW w:w="2977" w:type="dxa"/>
            <w:gridSpan w:val="2"/>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Балансова вартість</w:t>
            </w:r>
          </w:p>
        </w:tc>
        <w:tc>
          <w:tcPr>
            <w:tcW w:w="3118" w:type="dxa"/>
            <w:gridSpan w:val="2"/>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Справедлива вартість</w:t>
            </w:r>
          </w:p>
        </w:tc>
      </w:tr>
      <w:tr w:rsidR="00A123B9" w:rsidRPr="000F4905" w:rsidTr="00A123B9">
        <w:trPr>
          <w:trHeight w:val="312"/>
        </w:trPr>
        <w:tc>
          <w:tcPr>
            <w:tcW w:w="3686"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 </w:t>
            </w:r>
          </w:p>
        </w:tc>
        <w:tc>
          <w:tcPr>
            <w:tcW w:w="1701"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276"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c>
          <w:tcPr>
            <w:tcW w:w="1701"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1417"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368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дебіторська заборгованість</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2 113</w:t>
            </w:r>
          </w:p>
        </w:tc>
        <w:tc>
          <w:tcPr>
            <w:tcW w:w="127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407</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2 113</w:t>
            </w:r>
          </w:p>
        </w:tc>
        <w:tc>
          <w:tcPr>
            <w:tcW w:w="1417"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407</w:t>
            </w:r>
          </w:p>
        </w:tc>
      </w:tr>
      <w:tr w:rsidR="00A123B9" w:rsidRPr="000F4905" w:rsidTr="00A123B9">
        <w:trPr>
          <w:trHeight w:val="312"/>
        </w:trPr>
        <w:tc>
          <w:tcPr>
            <w:tcW w:w="368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Грошові кошти та їх еквіваленти</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47 935</w:t>
            </w:r>
          </w:p>
        </w:tc>
        <w:tc>
          <w:tcPr>
            <w:tcW w:w="127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50 032</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47 935</w:t>
            </w:r>
          </w:p>
        </w:tc>
        <w:tc>
          <w:tcPr>
            <w:tcW w:w="1417"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50032</w:t>
            </w:r>
          </w:p>
        </w:tc>
      </w:tr>
      <w:tr w:rsidR="00A123B9" w:rsidRPr="000F4905" w:rsidTr="00A123B9">
        <w:trPr>
          <w:trHeight w:val="312"/>
        </w:trPr>
        <w:tc>
          <w:tcPr>
            <w:tcW w:w="368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1 017</w:t>
            </w:r>
          </w:p>
        </w:tc>
        <w:tc>
          <w:tcPr>
            <w:tcW w:w="1276"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878</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1 017</w:t>
            </w:r>
          </w:p>
        </w:tc>
        <w:tc>
          <w:tcPr>
            <w:tcW w:w="1417"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878</w:t>
            </w:r>
          </w:p>
        </w:tc>
      </w:tr>
    </w:tbl>
    <w:p w:rsidR="00A123B9" w:rsidRPr="000F4905" w:rsidRDefault="00A123B9" w:rsidP="000F4905">
      <w:pPr>
        <w:pStyle w:val="af7"/>
        <w:widowControl w:val="0"/>
        <w:spacing w:after="0"/>
        <w:jc w:val="both"/>
        <w:rPr>
          <w:sz w:val="24"/>
          <w:szCs w:val="24"/>
        </w:rPr>
      </w:pPr>
      <w:r w:rsidRPr="000F4905">
        <w:rPr>
          <w:sz w:val="24"/>
          <w:szCs w:val="24"/>
        </w:rPr>
        <w:t>Справедливу вартість дебіторськоїта кредиторської заборгованості неможливо визначити достовірно, оскільки немає ринкового котирування цих активів.Справедлива вартість фінансового активу у вигляді дебіторської заборгованості (позика) дорівнює величині усіх майбутніх грошових потоків, дисконтованих за ринковою ставкою відсотка на подібний інструмент.</w:t>
      </w:r>
    </w:p>
    <w:p w:rsidR="00A123B9" w:rsidRPr="000F4905" w:rsidRDefault="00A123B9" w:rsidP="000F4905">
      <w:pPr>
        <w:pStyle w:val="af7"/>
        <w:widowControl w:val="0"/>
        <w:spacing w:after="0"/>
        <w:jc w:val="both"/>
        <w:rPr>
          <w:sz w:val="24"/>
          <w:szCs w:val="24"/>
        </w:rPr>
      </w:pPr>
      <w:r w:rsidRPr="000F4905">
        <w:rPr>
          <w:sz w:val="24"/>
          <w:szCs w:val="24"/>
        </w:rPr>
        <w:t>Керівництво Компанії вважає, що наведені розкриття щодо застосування справедливої вартості є достатніми, і не вважає, що за межами фінансової звітності залишилась будь-яка суттєва інформація щодо застосування справедливої вартості, яка може бути корисною для користувачів фінансової звітності.</w:t>
      </w:r>
    </w:p>
    <w:p w:rsidR="00A123B9" w:rsidRPr="000F4905" w:rsidRDefault="00A123B9" w:rsidP="000F4905">
      <w:pPr>
        <w:pStyle w:val="Default"/>
        <w:widowControl w:val="0"/>
        <w:jc w:val="both"/>
        <w:rPr>
          <w:rFonts w:ascii="Times New Roman" w:hAnsi="Times New Roman" w:cs="Times New Roman"/>
          <w:b/>
          <w:color w:val="auto"/>
          <w:lang w:val="uk-UA" w:eastAsia="uk-UA"/>
        </w:rPr>
      </w:pPr>
    </w:p>
    <w:p w:rsidR="00A123B9" w:rsidRPr="000F4905" w:rsidRDefault="00A123B9" w:rsidP="000F4905">
      <w:pPr>
        <w:pStyle w:val="Default"/>
        <w:widowControl w:val="0"/>
        <w:jc w:val="both"/>
        <w:rPr>
          <w:rFonts w:ascii="Times New Roman" w:hAnsi="Times New Roman" w:cs="Times New Roman"/>
          <w:b/>
          <w:color w:val="auto"/>
          <w:lang w:val="uk-UA" w:eastAsia="uk-UA"/>
        </w:rPr>
      </w:pPr>
      <w:r w:rsidRPr="000F4905">
        <w:rPr>
          <w:rFonts w:ascii="Times New Roman" w:hAnsi="Times New Roman" w:cs="Times New Roman"/>
          <w:b/>
          <w:color w:val="auto"/>
          <w:lang w:val="uk-UA" w:eastAsia="uk-UA"/>
        </w:rPr>
        <w:t>10. Умовні зобов’язання</w:t>
      </w:r>
    </w:p>
    <w:p w:rsidR="00A123B9" w:rsidRPr="000F4905" w:rsidRDefault="00A123B9" w:rsidP="000F4905">
      <w:pPr>
        <w:pStyle w:val="Default"/>
        <w:widowControl w:val="0"/>
        <w:jc w:val="both"/>
        <w:rPr>
          <w:rFonts w:ascii="Times New Roman" w:hAnsi="Times New Roman" w:cs="Times New Roman"/>
          <w:b/>
          <w:i/>
          <w:color w:val="auto"/>
          <w:lang w:val="uk-UA" w:eastAsia="uk-UA"/>
        </w:rPr>
      </w:pPr>
      <w:r w:rsidRPr="000F4905">
        <w:rPr>
          <w:rFonts w:ascii="Times New Roman" w:hAnsi="Times New Roman" w:cs="Times New Roman"/>
          <w:b/>
          <w:i/>
          <w:color w:val="auto"/>
          <w:lang w:val="uk-UA" w:eastAsia="uk-UA"/>
        </w:rPr>
        <w:t xml:space="preserve">Непередбачені податкові зобов’язання </w:t>
      </w:r>
    </w:p>
    <w:p w:rsidR="00A123B9" w:rsidRPr="000F4905" w:rsidRDefault="00A123B9" w:rsidP="000F4905">
      <w:pPr>
        <w:pStyle w:val="Default"/>
        <w:widowControl w:val="0"/>
        <w:jc w:val="both"/>
        <w:rPr>
          <w:rFonts w:ascii="Times New Roman" w:hAnsi="Times New Roman" w:cs="Times New Roman"/>
          <w:color w:val="auto"/>
          <w:lang w:val="uk-UA" w:eastAsia="uk-UA"/>
        </w:rPr>
      </w:pPr>
      <w:r w:rsidRPr="000F4905">
        <w:rPr>
          <w:rFonts w:ascii="Times New Roman" w:hAnsi="Times New Roman" w:cs="Times New Roman"/>
          <w:color w:val="auto"/>
          <w:lang w:val="uk-UA" w:eastAsia="uk-UA"/>
        </w:rPr>
        <w:t xml:space="preserve">Компанія здійснює операції в одній  податковій юрисдикції України. Для української системи оподаткування характерним є наявність численних податків та законодавство, яке часто змінюється, може застосовуватися ретроспективно, мати різну інтерпретацію, а в деяких випадках є суперечливим. Нерідко виникають протиріччя у тлумаченні податкового законодавства між місцевою, обласною і державною податковими адміністраціями та між Національним банком України і Міністерством фінансів. Ці факти створюють значно серйозніші податкові ризики в Україні, ніж ті, які є типовими для країн з більш розвиненими системами оподаткування. </w:t>
      </w:r>
    </w:p>
    <w:p w:rsidR="00A123B9" w:rsidRPr="000F4905" w:rsidRDefault="00A123B9" w:rsidP="000F4905">
      <w:pPr>
        <w:pStyle w:val="Default"/>
        <w:widowControl w:val="0"/>
        <w:jc w:val="both"/>
        <w:rPr>
          <w:rFonts w:ascii="Times New Roman" w:hAnsi="Times New Roman" w:cs="Times New Roman"/>
          <w:color w:val="auto"/>
          <w:lang w:val="uk-UA" w:eastAsia="uk-UA"/>
        </w:rPr>
      </w:pPr>
      <w:r w:rsidRPr="000F4905">
        <w:rPr>
          <w:rFonts w:ascii="Times New Roman" w:hAnsi="Times New Roman" w:cs="Times New Roman"/>
          <w:color w:val="auto"/>
          <w:lang w:val="uk-UA" w:eastAsia="uk-UA"/>
        </w:rPr>
        <w:t xml:space="preserve">Управлінський персонал вважає, виходячи з його тлумачення податкового законодавства, офіційних роз’яснень і судових рішень, що податкові зобов’язання були належним чином відображені в обліку. Однак відповідні органи можуть інакше тлумачити зазначені вище положення, і, якщо вони зможуть довести обґрунтованість своїх тлумачень, виконання їх рішень може суттєво вплинути на цю фінансову звітність. </w:t>
      </w:r>
    </w:p>
    <w:p w:rsidR="00A123B9" w:rsidRPr="000F4905" w:rsidRDefault="00A123B9" w:rsidP="000F4905">
      <w:pPr>
        <w:widowControl w:val="0"/>
        <w:spacing w:after="0" w:line="240" w:lineRule="auto"/>
        <w:jc w:val="both"/>
        <w:rPr>
          <w:rFonts w:ascii="Times New Roman" w:hAnsi="Times New Roman" w:cs="Times New Roman"/>
          <w:b/>
          <w:sz w:val="24"/>
          <w:szCs w:val="24"/>
        </w:rPr>
      </w:pPr>
    </w:p>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11.  Політика управління ризиками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Управління ризиками є важливим фактором для страхового бізнесу  і є суттєвим елементом операцій Компанії. Діяльності Компанії притаманний страховий ризик та різні фінансові ризики, включаючи валютний ризик, ризик ліквідності, кредитний ризик,ринковий та процентний ризик.</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11.1 Управління ризиками, що виникають у зв’язку зі страховою діяльністю</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Основною діяльністю Компанії є страхова діяльність, що передбачає прийняття ризику втрат з боку іншої сторони чи організації, які напряму несуть ризики втрат. Такі ризики стосуються втрати власності, виникнення зобов’язань перед третіми особами, нещасних випадів та інших ситуацій, які можуть виникнути у разі настання страхового випадку. Основним ризиком є те, що частота виплат та тяжкість страхових збитків будуть більшими, ніж очікувалося. Страхові випадки мають невпорядкований характер, і фактична кількість та розмір страхових випадків протягом будь-якого одного року можуть відрізнятися від розрахункових показників, отриманих </w:t>
      </w:r>
      <w:r w:rsidRPr="000F4905">
        <w:rPr>
          <w:rFonts w:ascii="Times New Roman" w:hAnsi="Times New Roman" w:cs="Times New Roman"/>
          <w:sz w:val="24"/>
          <w:szCs w:val="24"/>
        </w:rPr>
        <w:lastRenderedPageBreak/>
        <w:t>за допомогою різних статистичних методик.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управляє ризиками, пов’язаними із здійсненням  страхової діяльності, шляхом використання існуючих статистичних методів, перестрахування концентрації ризиків, а також оперативний моніторинг.</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i/>
          <w:sz w:val="24"/>
          <w:szCs w:val="24"/>
        </w:rPr>
      </w:pPr>
      <w:r w:rsidRPr="000F4905">
        <w:rPr>
          <w:rFonts w:ascii="Times New Roman" w:hAnsi="Times New Roman" w:cs="Times New Roman"/>
          <w:i/>
          <w:sz w:val="24"/>
          <w:szCs w:val="24"/>
        </w:rPr>
        <w:t xml:space="preserve">Стратегія перестрахування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перестраховує частину ризиків, застрахованих за договорами страхування, з метою забезпечення контролю за ризиком понесення збитків і захисту своїх власних фондів. Компанія укладає договори для того щоб зменшити чистий ризик для Компанії до меж власного утримання, визначеного окремо по кожному з договорів перестрахування.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Основні цілі зовнішнього перестрахування включають зменшення впливу великих разових збитків за полісами з максимальним покриттям та великої кількості збитків, викликаних подією.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Премії, передані у перестрахування, несуть кредитний ризик, і відшкодування за договорами перестрахування відображається за вирахуванням неплатоспроможності та безнадійної заборгованості, про які стає відомо. Компанія здійснює постійний моніторинг фінансового стану перестраховиків та періодично переглядає укладені нею угоди перестрахування.</w:t>
      </w:r>
    </w:p>
    <w:p w:rsidR="00A123B9" w:rsidRPr="000F4905" w:rsidRDefault="00A123B9" w:rsidP="000F4905">
      <w:pPr>
        <w:widowControl w:val="0"/>
        <w:autoSpaceDE w:val="0"/>
        <w:autoSpaceDN w:val="0"/>
        <w:adjustRightInd w:val="0"/>
        <w:spacing w:after="0" w:line="240" w:lineRule="auto"/>
        <w:rPr>
          <w:rFonts w:ascii="Times New Roman" w:hAnsi="Times New Roman" w:cs="Times New Roman"/>
          <w:i/>
          <w:sz w:val="24"/>
          <w:szCs w:val="24"/>
        </w:rPr>
      </w:pPr>
      <w:r w:rsidRPr="000F4905">
        <w:rPr>
          <w:rFonts w:ascii="Times New Roman" w:hAnsi="Times New Roman" w:cs="Times New Roman"/>
          <w:i/>
          <w:sz w:val="24"/>
          <w:szCs w:val="24"/>
        </w:rPr>
        <w:t xml:space="preserve">Ціноутворення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встановлює премії на рівні, що забезпечує перевищення суми отриманих премій та отриманого інвестиційного доходу над загальною сумою збитків, витрат на врегулювання цих збитків та затрат на управління господарською діяльністю. Премії за полісами (ціноутворення) встановлюються із застосуванням статистичного аналізу на основі внутрішніх та зовнішніх історичних даних. Обґрунтованість ціноутворення тестується з використанням методології та основних показників діяльності по конкретних портфелях (наприклад, тестування прибутку).</w:t>
      </w:r>
    </w:p>
    <w:p w:rsidR="00A123B9" w:rsidRPr="000F4905" w:rsidRDefault="00A123B9" w:rsidP="000F4905">
      <w:pPr>
        <w:widowControl w:val="0"/>
        <w:autoSpaceDE w:val="0"/>
        <w:autoSpaceDN w:val="0"/>
        <w:adjustRightInd w:val="0"/>
        <w:spacing w:after="0" w:line="240" w:lineRule="auto"/>
        <w:rPr>
          <w:rFonts w:ascii="Times New Roman" w:hAnsi="Times New Roman" w:cs="Times New Roman"/>
          <w:i/>
          <w:sz w:val="24"/>
          <w:szCs w:val="24"/>
        </w:rPr>
      </w:pPr>
      <w:r w:rsidRPr="000F4905">
        <w:rPr>
          <w:rFonts w:ascii="Times New Roman" w:hAnsi="Times New Roman" w:cs="Times New Roman"/>
          <w:i/>
          <w:sz w:val="24"/>
          <w:szCs w:val="24"/>
        </w:rPr>
        <w:t xml:space="preserve">Концентрації ризиків, пов’язаних із страховою діяльністю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Основним аспектом страхового ризику, що постає перед Компанією, є обсяг концентрації страхового ризику, який може існувати, якщо конкретна подія або ряд подій суттєво вплинуть на зобов’язання Компанії. Така концентрація може виникнути у зв’язку з єдиним страховим контрактом або через ряд пов’язаних контрактів, що мають подібні характеристики ризику, і пов’язані з обставинами, в яких можуть виникнути суттєві зобов’язання. Важливим аспектом концентрації страхових ризиків є те, що вони можуть виникати внаслідок накопичення ризиків у зв’язку з кількома одиничними контрактами або пов’язаними контрактами.</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здійснює управління цими ризиками шляхом їх передачі у перестрахування. Компанія оцінює затрати та вигоди, пов’язані з програмою перестрахування, на постійній основі.</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i/>
          <w:sz w:val="24"/>
          <w:szCs w:val="24"/>
        </w:rPr>
      </w:pPr>
      <w:r w:rsidRPr="000F4905">
        <w:rPr>
          <w:rFonts w:ascii="Times New Roman" w:hAnsi="Times New Roman" w:cs="Times New Roman"/>
          <w:i/>
          <w:sz w:val="24"/>
          <w:szCs w:val="24"/>
        </w:rPr>
        <w:t xml:space="preserve">Ризик перестрахування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передає страхові ризики у перестрахування з метою обмежити ризик виникнення збитків у зв’язку із страховою діяльністю. Для цього Компанією укладаються договори перестрахування, що охоплюють портфельні ризики. Укладення таких договорів перестрахування дозволяє розподілити ризики та мінімізувати вплив збитків. За умовами договорів перестрахування, перестраховик погоджується відшкодувати суму, передану у перестрахування, у разі, якщо здійснюється виплата страхових збитків. У той же час Компанія продовжує нести свої зобов’язання перед власниками страхових полісів за контрактом, переданим у перестрахування, у разі невиконання перестраховиком взятих на себе зобов’язань.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При виборі перестраховика Компанія бере до уваги його відносну платоспроможність. Платоспроможність оцінюється на основі відкритої інформації про рейтинги, а також на основі внутрішніх досліджень.</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11.2 Управління фінансовими ризиками</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Кредитний ризик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приймає на себе кредитний ризик, що являє собою ризик зменшення вартості внаслідок негативних змін спроможності позичальника погасити заборгованість. </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 xml:space="preserve">Компанія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w:t>
      </w:r>
      <w:r w:rsidRPr="000F4905">
        <w:rPr>
          <w:rFonts w:ascii="Times New Roman" w:hAnsi="Times New Roman" w:cs="Times New Roman"/>
          <w:bCs/>
          <w:color w:val="000000"/>
          <w:sz w:val="24"/>
          <w:szCs w:val="24"/>
        </w:rPr>
        <w:t>має низький рівень кредитного ризику станом на звітну дату.</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lastRenderedPageBreak/>
        <w:t>Максимальний рівень кредитного ризику відображається балансовою вартістю фінансових активів та активів, що виникають за договорами страхування, визнаних на звітну дату. З метою зменшення ризику несплати власниками страхових полісів належних сум усі поліси містять спеціальні положення, згідно яких у разі несплати страхових внесків у визначені строки, страховий поліс анулюється. Кредитний ризик залежить головним чином, від індивідуальних характеристик кожного клієнта. Управлінський персонал затвердив кредитну політику, згідно з якою кожна окрема страхова компанія, з якою планується укласти договір страхування, підлягає індивідуальному аналізу на предмет платоспроможності перед тим, як з нею буде укладений договір. Такий аналіз охоплює огляд зовнішніх рейтингів, репутації на ринку та іншої опублікованої інформації.</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При здійсненні моніторингу кредитного ризику, пов’язаного з утримувачами полісів, клієнти поділяється на групи за типами страхування в розрізі їх кредитних рейтингів та платіжної поведінки. Страхові поліси є дійсними тільки за умови внесення страхових премій власником поліса із дотриманням графіку платежів.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Для інших клієнтів управлінський  персонал затвердив кредитну політику, згідно з якою ці клієнти проходять індивідуальну оцінку платоспроможності, за результатами якої їм надаються певні умови відстрочки сплати страхових премій.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Компанія також оцінює кредитоспроможність усіх перестраховиків шляхом вивчення інформації щодо рейтингів та проведення внутрішніх досліджень.</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Компанія відносно банківських депозитів має наступну модель розрахунку збитку від знецінення фінансового активу:</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 xml:space="preserve">при розміщенні депозиту в банку з високою надійністю (інвестиційний рівень рейтингу </w:t>
      </w:r>
      <w:r w:rsidRPr="000F4905">
        <w:rPr>
          <w:rFonts w:ascii="Times New Roman" w:hAnsi="Times New Roman" w:cs="Times New Roman"/>
          <w:color w:val="000000"/>
          <w:sz w:val="24"/>
          <w:szCs w:val="24"/>
          <w:lang w:eastAsia="en-US"/>
        </w:rPr>
        <w:t>uaAAA, uaAA, uaA, uaBBB</w:t>
      </w:r>
      <w:r w:rsidRPr="000F4905">
        <w:rPr>
          <w:rFonts w:ascii="Times New Roman" w:hAnsi="Times New Roman" w:cs="Times New Roman"/>
          <w:color w:val="000000"/>
          <w:sz w:val="24"/>
          <w:szCs w:val="24"/>
        </w:rPr>
        <w:t xml:space="preserve">та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збитків розраховується в залежності від строку та умов розміщення (при розміщенні від 1 до 3-х місяців - розмір збитку складає </w:t>
      </w:r>
      <w:r w:rsidRPr="000F4905">
        <w:rPr>
          <w:rFonts w:ascii="Times New Roman" w:hAnsi="Times New Roman" w:cs="Times New Roman"/>
          <w:color w:val="000000"/>
          <w:sz w:val="24"/>
          <w:szCs w:val="24"/>
          <w:u w:val="single"/>
        </w:rPr>
        <w:t>0%</w:t>
      </w:r>
      <w:r w:rsidRPr="000F4905">
        <w:rPr>
          <w:rFonts w:ascii="Times New Roman" w:hAnsi="Times New Roman" w:cs="Times New Roman"/>
          <w:color w:val="000000"/>
          <w:sz w:val="24"/>
          <w:szCs w:val="24"/>
        </w:rPr>
        <w:t>, від 3-х місяців до 1 року - 1% від суми розміщення, більше 1 року - 2%);</w:t>
      </w:r>
    </w:p>
    <w:p w:rsidR="00A123B9" w:rsidRPr="000F4905" w:rsidRDefault="00A123B9" w:rsidP="000F4905">
      <w:pPr>
        <w:widowControl w:val="0"/>
        <w:spacing w:after="0" w:line="240" w:lineRule="auto"/>
        <w:jc w:val="both"/>
        <w:rPr>
          <w:rFonts w:ascii="Times New Roman" w:hAnsi="Times New Roman" w:cs="Times New Roman"/>
          <w:color w:val="000000"/>
          <w:sz w:val="24"/>
          <w:szCs w:val="24"/>
        </w:rPr>
      </w:pPr>
      <w:r w:rsidRPr="000F4905">
        <w:rPr>
          <w:rFonts w:ascii="Times New Roman" w:hAnsi="Times New Roman" w:cs="Times New Roman"/>
          <w:color w:val="000000"/>
          <w:sz w:val="24"/>
          <w:szCs w:val="24"/>
        </w:rPr>
        <w:t>при розміщенні депозиту в банку з більш низьким кредитним рейтингом (спекулятивний рівень рейтингу,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збитку розраховується у розмірі від 7% до 20% від суми вкладу в залежності від оцінки ризиків.</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color w:val="000000"/>
          <w:sz w:val="24"/>
          <w:szCs w:val="24"/>
        </w:rPr>
        <w:t>Компанія зберігає свої грошові кошти в банках з рейтингом не нижче АА (див. примітку 5.6).</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Максимальна сума кредитного ризику станом на 30вересня 2023 р. та на 30 вересня 2022 р. була представлена таким чином:</w:t>
      </w:r>
    </w:p>
    <w:p w:rsidR="00A123B9" w:rsidRPr="000F4905" w:rsidRDefault="00A123B9" w:rsidP="000F4905">
      <w:pPr>
        <w:widowControl w:val="0"/>
        <w:spacing w:after="0" w:line="240" w:lineRule="auto"/>
        <w:jc w:val="both"/>
        <w:rPr>
          <w:rFonts w:ascii="Times New Roman" w:hAnsi="Times New Roman" w:cs="Times New Roman"/>
          <w:sz w:val="24"/>
          <w:szCs w:val="24"/>
        </w:rPr>
      </w:pPr>
    </w:p>
    <w:tbl>
      <w:tblPr>
        <w:tblW w:w="9823" w:type="dxa"/>
        <w:tblInd w:w="108" w:type="dxa"/>
        <w:tblLook w:val="04A0"/>
      </w:tblPr>
      <w:tblGrid>
        <w:gridCol w:w="5103"/>
        <w:gridCol w:w="2180"/>
        <w:gridCol w:w="2540"/>
      </w:tblGrid>
      <w:tr w:rsidR="00A123B9" w:rsidRPr="000F4905" w:rsidTr="00A123B9">
        <w:trPr>
          <w:trHeight w:val="312"/>
        </w:trPr>
        <w:tc>
          <w:tcPr>
            <w:tcW w:w="5103"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Активи у звіті про фінансовий стан</w:t>
            </w:r>
          </w:p>
        </w:tc>
        <w:tc>
          <w:tcPr>
            <w:tcW w:w="218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2540" w:type="dxa"/>
            <w:tcBorders>
              <w:top w:val="nil"/>
              <w:left w:val="nil"/>
              <w:bottom w:val="single" w:sz="4" w:space="0" w:color="auto"/>
              <w:right w:val="nil"/>
            </w:tcBorders>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510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Торгівельна дебіторська заборгованість, чиста</w:t>
            </w:r>
          </w:p>
        </w:tc>
        <w:tc>
          <w:tcPr>
            <w:tcW w:w="218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2540"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w:t>
            </w:r>
          </w:p>
        </w:tc>
      </w:tr>
      <w:tr w:rsidR="00A123B9" w:rsidRPr="000F4905" w:rsidTr="00A123B9">
        <w:trPr>
          <w:trHeight w:val="312"/>
        </w:trPr>
        <w:tc>
          <w:tcPr>
            <w:tcW w:w="510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Інша дебіторська заборгованість</w:t>
            </w:r>
          </w:p>
        </w:tc>
        <w:tc>
          <w:tcPr>
            <w:tcW w:w="218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2109</w:t>
            </w:r>
          </w:p>
        </w:tc>
        <w:tc>
          <w:tcPr>
            <w:tcW w:w="2540"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394</w:t>
            </w:r>
          </w:p>
        </w:tc>
      </w:tr>
      <w:tr w:rsidR="00A123B9" w:rsidRPr="000F4905" w:rsidTr="00A123B9">
        <w:trPr>
          <w:trHeight w:val="312"/>
        </w:trPr>
        <w:tc>
          <w:tcPr>
            <w:tcW w:w="5103"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Грошові кошти та їх еквіваленти</w:t>
            </w:r>
          </w:p>
        </w:tc>
        <w:tc>
          <w:tcPr>
            <w:tcW w:w="2180" w:type="dxa"/>
            <w:tcBorders>
              <w:top w:val="nil"/>
              <w:left w:val="nil"/>
              <w:bottom w:val="single" w:sz="4" w:space="0" w:color="auto"/>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47 935</w:t>
            </w:r>
          </w:p>
        </w:tc>
        <w:tc>
          <w:tcPr>
            <w:tcW w:w="2540" w:type="dxa"/>
            <w:tcBorders>
              <w:top w:val="nil"/>
              <w:left w:val="nil"/>
              <w:bottom w:val="single" w:sz="4" w:space="0" w:color="auto"/>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50 032</w:t>
            </w:r>
          </w:p>
        </w:tc>
      </w:tr>
      <w:tr w:rsidR="00A123B9" w:rsidRPr="000F4905" w:rsidTr="00A123B9">
        <w:trPr>
          <w:trHeight w:val="312"/>
        </w:trPr>
        <w:tc>
          <w:tcPr>
            <w:tcW w:w="5103"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50 048</w:t>
            </w:r>
          </w:p>
        </w:tc>
        <w:tc>
          <w:tcPr>
            <w:tcW w:w="2540" w:type="dxa"/>
            <w:tcBorders>
              <w:top w:val="nil"/>
              <w:left w:val="nil"/>
              <w:bottom w:val="nil"/>
              <w:right w:val="nil"/>
            </w:tcBorders>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50 439</w:t>
            </w:r>
          </w:p>
        </w:tc>
      </w:tr>
    </w:tbl>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Ринковий ризик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Ринковий ризик – це ризик того, що справедлива вартість фінансового інструмента чи майбутні грошові потоки за фінансовим інструментом будуть коливатися у зв’язку зі змінами ринкових курсів. Ринковий ризик виникає у зв’язку з відкритими позиціями за  процентними ставками, валютами, на які впливають загальні і специфічні зміни на ринку та зміни рівня нестабільності ринкових курсів. Метою управління ринковим ризиком є управління та контроль за збереженням рівня ринкового ризику в прийнятих межах.</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Процентний ризик</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зазнає впливу ринкових процентних ставок на свій фінансовий стан та грошові потоки. Процентна маржа може збільшуватися в результаті таких змін, а може і зменшуватися або </w:t>
      </w:r>
      <w:r w:rsidRPr="000F4905">
        <w:rPr>
          <w:rFonts w:ascii="Times New Roman" w:hAnsi="Times New Roman" w:cs="Times New Roman"/>
          <w:sz w:val="24"/>
          <w:szCs w:val="24"/>
        </w:rPr>
        <w:lastRenderedPageBreak/>
        <w:t xml:space="preserve">призводити до збитків у разі виникнення несподіваних змін. </w:t>
      </w: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Ризик ліквідності</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Ризик ліквідності - це ризик того, що Компанії буде складно залучити кошти для виконання своїх зобов'язань. Ризик ліквідності існує тоді, коли існує розбіжність у строках виплат за активами і зобов’язаннями. Для управлінського персоналу Компанії надзвичайно важливо, щоб строки виплат за активами відповідали строкам виплат за зобов’язаннями, процентні ставки по активах відповідали процентним ставкам по зобов’язаннях, а якщо існує будь-яка невідповідність, щоб вона була під контролем. </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 xml:space="preserve">Компанія здійснює управління ліквідністю з метою забезпечення постійної наявності коштів, необхідних для виконання усіх зобов'язань у визначені терміни. </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Строки погашення непохідних фінансових зобов’язань згідно з договорами, страхових резервів (включаючи резерв незароблених премій) та виплати процентів представлені таким чином:</w:t>
      </w:r>
    </w:p>
    <w:p w:rsidR="00A123B9" w:rsidRPr="000F4905" w:rsidRDefault="00A123B9" w:rsidP="000F4905">
      <w:pPr>
        <w:widowControl w:val="0"/>
        <w:spacing w:after="0" w:line="240" w:lineRule="auto"/>
        <w:jc w:val="both"/>
        <w:rPr>
          <w:rFonts w:ascii="Times New Roman" w:hAnsi="Times New Roman" w:cs="Times New Roman"/>
          <w:i/>
          <w:sz w:val="24"/>
          <w:szCs w:val="24"/>
        </w:rPr>
      </w:pPr>
      <w:r w:rsidRPr="000F4905">
        <w:rPr>
          <w:rFonts w:ascii="Times New Roman" w:hAnsi="Times New Roman" w:cs="Times New Roman"/>
          <w:i/>
          <w:sz w:val="24"/>
          <w:szCs w:val="24"/>
        </w:rPr>
        <w:t>на 30вересня 2023 р.</w:t>
      </w:r>
    </w:p>
    <w:tbl>
      <w:tblPr>
        <w:tblW w:w="9783" w:type="dxa"/>
        <w:tblInd w:w="108" w:type="dxa"/>
        <w:tblLook w:val="04A0"/>
      </w:tblPr>
      <w:tblGrid>
        <w:gridCol w:w="4962"/>
        <w:gridCol w:w="1559"/>
        <w:gridCol w:w="1560"/>
        <w:gridCol w:w="1702"/>
      </w:tblGrid>
      <w:tr w:rsidR="00A123B9" w:rsidRPr="000F4905" w:rsidTr="00A123B9">
        <w:trPr>
          <w:trHeight w:val="209"/>
        </w:trPr>
        <w:tc>
          <w:tcPr>
            <w:tcW w:w="4962"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w:t>
            </w:r>
          </w:p>
        </w:tc>
        <w:tc>
          <w:tcPr>
            <w:tcW w:w="1559"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Балансова вартість</w:t>
            </w:r>
          </w:p>
        </w:tc>
        <w:tc>
          <w:tcPr>
            <w:tcW w:w="156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До одного року</w:t>
            </w:r>
          </w:p>
        </w:tc>
        <w:tc>
          <w:tcPr>
            <w:tcW w:w="1702"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Понад один рік</w:t>
            </w:r>
          </w:p>
        </w:tc>
      </w:tr>
      <w:tr w:rsidR="00A123B9" w:rsidRPr="000F4905" w:rsidTr="00A123B9">
        <w:trPr>
          <w:trHeight w:val="312"/>
        </w:trPr>
        <w:tc>
          <w:tcPr>
            <w:tcW w:w="496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збитків, валова сума</w:t>
            </w:r>
          </w:p>
        </w:tc>
        <w:tc>
          <w:tcPr>
            <w:tcW w:w="1559"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17 891</w:t>
            </w:r>
          </w:p>
        </w:tc>
        <w:tc>
          <w:tcPr>
            <w:tcW w:w="156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17 891</w:t>
            </w:r>
          </w:p>
        </w:tc>
        <w:tc>
          <w:tcPr>
            <w:tcW w:w="170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96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незароблених премій, валова сума</w:t>
            </w:r>
          </w:p>
        </w:tc>
        <w:tc>
          <w:tcPr>
            <w:tcW w:w="1559"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1 333</w:t>
            </w:r>
          </w:p>
        </w:tc>
        <w:tc>
          <w:tcPr>
            <w:tcW w:w="156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1 333</w:t>
            </w:r>
          </w:p>
        </w:tc>
        <w:tc>
          <w:tcPr>
            <w:tcW w:w="1702"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96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страховою діяльністю</w:t>
            </w:r>
          </w:p>
        </w:tc>
        <w:tc>
          <w:tcPr>
            <w:tcW w:w="1559"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1 013</w:t>
            </w:r>
          </w:p>
        </w:tc>
        <w:tc>
          <w:tcPr>
            <w:tcW w:w="156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1 013</w:t>
            </w:r>
          </w:p>
        </w:tc>
        <w:tc>
          <w:tcPr>
            <w:tcW w:w="1702"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962"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товари, роботи, послуги</w:t>
            </w:r>
          </w:p>
        </w:tc>
        <w:tc>
          <w:tcPr>
            <w:tcW w:w="1559" w:type="dxa"/>
            <w:tcBorders>
              <w:top w:val="nil"/>
              <w:left w:val="nil"/>
              <w:bottom w:val="single" w:sz="4" w:space="0" w:color="auto"/>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1560" w:type="dxa"/>
            <w:tcBorders>
              <w:top w:val="nil"/>
              <w:left w:val="nil"/>
              <w:bottom w:val="single" w:sz="4" w:space="0" w:color="auto"/>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1702"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962" w:type="dxa"/>
            <w:tcBorders>
              <w:top w:val="single" w:sz="4" w:space="0" w:color="auto"/>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1559" w:type="dxa"/>
            <w:tcBorders>
              <w:top w:val="single" w:sz="4" w:space="0" w:color="auto"/>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20 241</w:t>
            </w:r>
          </w:p>
        </w:tc>
        <w:tc>
          <w:tcPr>
            <w:tcW w:w="1560" w:type="dxa"/>
            <w:tcBorders>
              <w:top w:val="single" w:sz="4" w:space="0" w:color="auto"/>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20241</w:t>
            </w:r>
          </w:p>
        </w:tc>
        <w:tc>
          <w:tcPr>
            <w:tcW w:w="1702" w:type="dxa"/>
            <w:tcBorders>
              <w:top w:val="single" w:sz="4" w:space="0" w:color="auto"/>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i/>
          <w:sz w:val="24"/>
          <w:szCs w:val="24"/>
        </w:rPr>
      </w:pPr>
      <w:r w:rsidRPr="000F4905">
        <w:rPr>
          <w:rFonts w:ascii="Times New Roman" w:hAnsi="Times New Roman" w:cs="Times New Roman"/>
          <w:i/>
          <w:sz w:val="24"/>
          <w:szCs w:val="24"/>
        </w:rPr>
        <w:t>на 30вересня 2022 р.</w:t>
      </w:r>
    </w:p>
    <w:tbl>
      <w:tblPr>
        <w:tblW w:w="9781" w:type="dxa"/>
        <w:tblInd w:w="108" w:type="dxa"/>
        <w:tblLook w:val="04A0"/>
      </w:tblPr>
      <w:tblGrid>
        <w:gridCol w:w="4420"/>
        <w:gridCol w:w="2180"/>
        <w:gridCol w:w="1480"/>
        <w:gridCol w:w="1701"/>
      </w:tblGrid>
      <w:tr w:rsidR="00A123B9" w:rsidRPr="000F4905" w:rsidTr="00A123B9">
        <w:trPr>
          <w:trHeight w:val="312"/>
          <w:tblHeader/>
        </w:trPr>
        <w:tc>
          <w:tcPr>
            <w:tcW w:w="442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w:t>
            </w:r>
          </w:p>
        </w:tc>
        <w:tc>
          <w:tcPr>
            <w:tcW w:w="2180"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Балансова вартість</w:t>
            </w:r>
          </w:p>
        </w:tc>
        <w:tc>
          <w:tcPr>
            <w:tcW w:w="1480" w:type="dxa"/>
            <w:tcBorders>
              <w:top w:val="nil"/>
              <w:left w:val="nil"/>
              <w:bottom w:val="single" w:sz="4" w:space="0" w:color="auto"/>
              <w:right w:val="nil"/>
            </w:tcBorders>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До одного року</w:t>
            </w:r>
          </w:p>
        </w:tc>
        <w:tc>
          <w:tcPr>
            <w:tcW w:w="1701"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Понад один рік</w:t>
            </w:r>
          </w:p>
        </w:tc>
      </w:tr>
      <w:tr w:rsidR="00A123B9" w:rsidRPr="000F4905" w:rsidTr="00A123B9">
        <w:trPr>
          <w:trHeight w:val="312"/>
        </w:trPr>
        <w:tc>
          <w:tcPr>
            <w:tcW w:w="442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збитків, валова сума</w:t>
            </w:r>
          </w:p>
        </w:tc>
        <w:tc>
          <w:tcPr>
            <w:tcW w:w="21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17899</w:t>
            </w:r>
          </w:p>
        </w:tc>
        <w:tc>
          <w:tcPr>
            <w:tcW w:w="14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17899</w:t>
            </w:r>
          </w:p>
        </w:tc>
        <w:tc>
          <w:tcPr>
            <w:tcW w:w="1701"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42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Резерв незароблених премій, валова сума</w:t>
            </w:r>
          </w:p>
        </w:tc>
        <w:tc>
          <w:tcPr>
            <w:tcW w:w="21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136</w:t>
            </w:r>
          </w:p>
        </w:tc>
        <w:tc>
          <w:tcPr>
            <w:tcW w:w="14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136</w:t>
            </w:r>
          </w:p>
        </w:tc>
        <w:tc>
          <w:tcPr>
            <w:tcW w:w="1701"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42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страховою діяльністю</w:t>
            </w:r>
          </w:p>
        </w:tc>
        <w:tc>
          <w:tcPr>
            <w:tcW w:w="218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862</w:t>
            </w:r>
          </w:p>
        </w:tc>
        <w:tc>
          <w:tcPr>
            <w:tcW w:w="1480"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862</w:t>
            </w:r>
          </w:p>
        </w:tc>
        <w:tc>
          <w:tcPr>
            <w:tcW w:w="1701" w:type="dxa"/>
            <w:tcBorders>
              <w:top w:val="nil"/>
              <w:left w:val="nil"/>
              <w:bottom w:val="nil"/>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42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товари, роботи, послуги</w:t>
            </w:r>
          </w:p>
        </w:tc>
        <w:tc>
          <w:tcPr>
            <w:tcW w:w="21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w:t>
            </w:r>
          </w:p>
        </w:tc>
        <w:tc>
          <w:tcPr>
            <w:tcW w:w="14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w:t>
            </w:r>
          </w:p>
        </w:tc>
        <w:tc>
          <w:tcPr>
            <w:tcW w:w="1701"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r w:rsidR="00A123B9" w:rsidRPr="000F4905" w:rsidTr="00A123B9">
        <w:trPr>
          <w:trHeight w:val="312"/>
        </w:trPr>
        <w:tc>
          <w:tcPr>
            <w:tcW w:w="4420" w:type="dxa"/>
            <w:tcBorders>
              <w:top w:val="nil"/>
              <w:left w:val="nil"/>
              <w:bottom w:val="single" w:sz="4" w:space="0" w:color="auto"/>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sz w:val="24"/>
                <w:szCs w:val="24"/>
              </w:rPr>
            </w:pPr>
            <w:bookmarkStart w:id="8" w:name="_Hlk148628804"/>
          </w:p>
        </w:tc>
        <w:tc>
          <w:tcPr>
            <w:tcW w:w="2180" w:type="dxa"/>
            <w:tcBorders>
              <w:top w:val="nil"/>
              <w:left w:val="nil"/>
              <w:bottom w:val="single" w:sz="4" w:space="0" w:color="auto"/>
              <w:right w:val="nil"/>
            </w:tcBorders>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80"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701"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bookmarkEnd w:id="8"/>
      <w:tr w:rsidR="00A123B9" w:rsidRPr="000F4905" w:rsidTr="00A123B9">
        <w:trPr>
          <w:trHeight w:val="312"/>
        </w:trPr>
        <w:tc>
          <w:tcPr>
            <w:tcW w:w="442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18913</w:t>
            </w:r>
          </w:p>
        </w:tc>
        <w:tc>
          <w:tcPr>
            <w:tcW w:w="148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18913</w:t>
            </w:r>
          </w:p>
        </w:tc>
        <w:tc>
          <w:tcPr>
            <w:tcW w:w="1701"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r>
    </w:tbl>
    <w:p w:rsidR="00A123B9" w:rsidRPr="000F4905" w:rsidRDefault="00A123B9" w:rsidP="000F4905">
      <w:pPr>
        <w:widowControl w:val="0"/>
        <w:spacing w:after="0" w:line="240" w:lineRule="auto"/>
        <w:jc w:val="both"/>
        <w:rPr>
          <w:rFonts w:ascii="Times New Roman" w:hAnsi="Times New Roman" w:cs="Times New Roman"/>
          <w:bCs/>
          <w:iCs/>
          <w:sz w:val="24"/>
          <w:szCs w:val="24"/>
        </w:rPr>
      </w:pPr>
    </w:p>
    <w:p w:rsidR="00A123B9" w:rsidRPr="000F4905" w:rsidRDefault="00A123B9" w:rsidP="000F4905">
      <w:pPr>
        <w:widowControl w:val="0"/>
        <w:spacing w:after="0" w:line="240" w:lineRule="auto"/>
        <w:jc w:val="both"/>
        <w:rPr>
          <w:rFonts w:ascii="Times New Roman" w:hAnsi="Times New Roman" w:cs="Times New Roman"/>
          <w:b/>
          <w:i/>
          <w:sz w:val="24"/>
          <w:szCs w:val="24"/>
        </w:rPr>
      </w:pPr>
      <w:r w:rsidRPr="000F4905">
        <w:rPr>
          <w:rFonts w:ascii="Times New Roman" w:hAnsi="Times New Roman" w:cs="Times New Roman"/>
          <w:b/>
          <w:i/>
          <w:sz w:val="24"/>
          <w:szCs w:val="24"/>
        </w:rPr>
        <w:t>Валютний ризик</w:t>
      </w:r>
    </w:p>
    <w:p w:rsidR="00A123B9" w:rsidRPr="000F4905" w:rsidRDefault="00A123B9" w:rsidP="000F4905">
      <w:pPr>
        <w:pStyle w:val="Default"/>
        <w:widowControl w:val="0"/>
        <w:jc w:val="both"/>
        <w:rPr>
          <w:rFonts w:ascii="Times New Roman" w:hAnsi="Times New Roman" w:cs="Times New Roman"/>
          <w:color w:val="auto"/>
          <w:lang w:val="uk-UA" w:eastAsia="uk-UA"/>
        </w:rPr>
      </w:pPr>
      <w:r w:rsidRPr="000F4905">
        <w:rPr>
          <w:rFonts w:ascii="Times New Roman" w:hAnsi="Times New Roman" w:cs="Times New Roman"/>
          <w:color w:val="auto"/>
          <w:lang w:val="uk-UA" w:eastAsia="uk-UA"/>
        </w:rPr>
        <w:t>Валютний ризик виникає у випадках, коли наявні або прогнозовані активи, виражені в якій-небудь іноземній валюті, більше або менше по величині наявних або прогнозованих зобов'язань, виражених у тій же валюті.</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Валютний ризик Компанії виникає внаслідок прийняття на себе ризиків за зобов’язаннями,  вираженими в іноземній  валюті. Компанія управляє своїм валютним ризиком, підтримуючи наявність грошових коштів в іноземній валюті (долари США, євро).</w:t>
      </w: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Курси обміну гривні до основних валют , використані для складання цієї фінансової звітності, були такими: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3332"/>
        <w:gridCol w:w="3117"/>
      </w:tblGrid>
      <w:tr w:rsidR="00A123B9" w:rsidRPr="000F4905" w:rsidTr="00A123B9">
        <w:tc>
          <w:tcPr>
            <w:tcW w:w="3332" w:type="dxa"/>
            <w:tcBorders>
              <w:top w:val="nil"/>
              <w:left w:val="nil"/>
              <w:bottom w:val="single" w:sz="4" w:space="0" w:color="auto"/>
              <w:right w:val="nil"/>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b/>
                <w:sz w:val="24"/>
                <w:szCs w:val="24"/>
              </w:rPr>
            </w:pPr>
            <w:r w:rsidRPr="000F4905">
              <w:rPr>
                <w:rFonts w:ascii="Times New Roman" w:hAnsi="Times New Roman" w:cs="Times New Roman"/>
                <w:b/>
                <w:sz w:val="24"/>
                <w:szCs w:val="24"/>
              </w:rPr>
              <w:t>Валюта</w:t>
            </w:r>
          </w:p>
        </w:tc>
        <w:tc>
          <w:tcPr>
            <w:tcW w:w="3332" w:type="dxa"/>
            <w:tcBorders>
              <w:top w:val="nil"/>
              <w:left w:val="nil"/>
              <w:bottom w:val="single" w:sz="4" w:space="0" w:color="auto"/>
              <w:right w:val="nil"/>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30.09.2023</w:t>
            </w:r>
          </w:p>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у гривнях</w:t>
            </w:r>
          </w:p>
        </w:tc>
        <w:tc>
          <w:tcPr>
            <w:tcW w:w="3117" w:type="dxa"/>
            <w:tcBorders>
              <w:top w:val="nil"/>
              <w:left w:val="nil"/>
              <w:bottom w:val="single" w:sz="4" w:space="0" w:color="auto"/>
              <w:right w:val="nil"/>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30.09.2022</w:t>
            </w:r>
          </w:p>
          <w:p w:rsidR="00A123B9" w:rsidRPr="000F4905" w:rsidRDefault="00A123B9" w:rsidP="000F4905">
            <w:pPr>
              <w:widowControl w:val="0"/>
              <w:spacing w:after="0" w:line="240" w:lineRule="auto"/>
              <w:jc w:val="center"/>
              <w:rPr>
                <w:rFonts w:ascii="Times New Roman" w:hAnsi="Times New Roman" w:cs="Times New Roman"/>
                <w:b/>
                <w:sz w:val="24"/>
                <w:szCs w:val="24"/>
              </w:rPr>
            </w:pPr>
            <w:r w:rsidRPr="000F4905">
              <w:rPr>
                <w:rFonts w:ascii="Times New Roman" w:hAnsi="Times New Roman" w:cs="Times New Roman"/>
                <w:b/>
                <w:sz w:val="24"/>
                <w:szCs w:val="24"/>
              </w:rPr>
              <w:t>у гривнях</w:t>
            </w:r>
          </w:p>
        </w:tc>
      </w:tr>
      <w:tr w:rsidR="00A123B9" w:rsidRPr="000F4905" w:rsidTr="00A123B9">
        <w:tc>
          <w:tcPr>
            <w:tcW w:w="3332" w:type="dxa"/>
            <w:tcBorders>
              <w:top w:val="single" w:sz="4" w:space="0" w:color="auto"/>
              <w:left w:val="nil"/>
              <w:bottom w:val="nil"/>
              <w:right w:val="nil"/>
            </w:tcBorders>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1 долар США</w:t>
            </w:r>
          </w:p>
        </w:tc>
        <w:tc>
          <w:tcPr>
            <w:tcW w:w="3332" w:type="dxa"/>
            <w:tcBorders>
              <w:top w:val="single" w:sz="4" w:space="0" w:color="auto"/>
              <w:left w:val="nil"/>
              <w:bottom w:val="nil"/>
              <w:right w:val="nil"/>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36,5686</w:t>
            </w:r>
          </w:p>
        </w:tc>
        <w:tc>
          <w:tcPr>
            <w:tcW w:w="3117" w:type="dxa"/>
            <w:tcBorders>
              <w:top w:val="single" w:sz="4" w:space="0" w:color="auto"/>
              <w:left w:val="nil"/>
              <w:bottom w:val="nil"/>
              <w:right w:val="nil"/>
            </w:tcBorders>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36,5686</w:t>
            </w:r>
          </w:p>
        </w:tc>
      </w:tr>
      <w:tr w:rsidR="00A123B9" w:rsidRPr="000F4905" w:rsidTr="00A123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2" w:type="dxa"/>
            <w:shd w:val="clear" w:color="auto" w:fill="auto"/>
          </w:tcPr>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1 євро</w:t>
            </w:r>
          </w:p>
        </w:tc>
        <w:tc>
          <w:tcPr>
            <w:tcW w:w="3332"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38,5543</w:t>
            </w:r>
          </w:p>
        </w:tc>
        <w:tc>
          <w:tcPr>
            <w:tcW w:w="3117" w:type="dxa"/>
            <w:shd w:val="clear" w:color="auto" w:fill="auto"/>
          </w:tcPr>
          <w:p w:rsidR="00A123B9" w:rsidRPr="000F4905" w:rsidRDefault="00A123B9" w:rsidP="000F4905">
            <w:pPr>
              <w:widowControl w:val="0"/>
              <w:spacing w:after="0" w:line="240" w:lineRule="auto"/>
              <w:jc w:val="center"/>
              <w:rPr>
                <w:rFonts w:ascii="Times New Roman" w:hAnsi="Times New Roman" w:cs="Times New Roman"/>
                <w:sz w:val="24"/>
                <w:szCs w:val="24"/>
              </w:rPr>
            </w:pPr>
            <w:r w:rsidRPr="000F4905">
              <w:rPr>
                <w:rFonts w:ascii="Times New Roman" w:hAnsi="Times New Roman" w:cs="Times New Roman"/>
                <w:sz w:val="24"/>
                <w:szCs w:val="24"/>
              </w:rPr>
              <w:t>35,5611</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Рівень валютного ризику Компанії на 30вересня 2023 року представлений наступним чином:</w:t>
      </w:r>
    </w:p>
    <w:tbl>
      <w:tblPr>
        <w:tblW w:w="9781" w:type="dxa"/>
        <w:tblInd w:w="108" w:type="dxa"/>
        <w:tblLook w:val="04A0"/>
      </w:tblPr>
      <w:tblGrid>
        <w:gridCol w:w="4420"/>
        <w:gridCol w:w="1109"/>
        <w:gridCol w:w="1701"/>
        <w:gridCol w:w="992"/>
        <w:gridCol w:w="1559"/>
      </w:tblGrid>
      <w:tr w:rsidR="00A123B9" w:rsidRPr="000F4905" w:rsidTr="00A123B9">
        <w:trPr>
          <w:trHeight w:val="312"/>
        </w:trPr>
        <w:tc>
          <w:tcPr>
            <w:tcW w:w="4420" w:type="dxa"/>
            <w:tcBorders>
              <w:top w:val="nil"/>
              <w:left w:val="nil"/>
              <w:bottom w:val="single" w:sz="4" w:space="0" w:color="auto"/>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lastRenderedPageBreak/>
              <w:t> </w:t>
            </w:r>
          </w:p>
        </w:tc>
        <w:tc>
          <w:tcPr>
            <w:tcW w:w="1109"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Гривня</w:t>
            </w:r>
          </w:p>
        </w:tc>
        <w:tc>
          <w:tcPr>
            <w:tcW w:w="1701"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Долар США</w:t>
            </w:r>
          </w:p>
        </w:tc>
        <w:tc>
          <w:tcPr>
            <w:tcW w:w="992"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Євро</w:t>
            </w:r>
          </w:p>
        </w:tc>
        <w:tc>
          <w:tcPr>
            <w:tcW w:w="1559" w:type="dxa"/>
            <w:tcBorders>
              <w:top w:val="nil"/>
              <w:left w:val="nil"/>
              <w:bottom w:val="single" w:sz="4" w:space="0" w:color="auto"/>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r>
      <w:tr w:rsidR="00A123B9" w:rsidRPr="000F4905" w:rsidTr="00A123B9">
        <w:trPr>
          <w:trHeight w:val="312"/>
        </w:trPr>
        <w:tc>
          <w:tcPr>
            <w:tcW w:w="4420" w:type="dxa"/>
            <w:tcBorders>
              <w:top w:val="nil"/>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Фінансові активи</w:t>
            </w:r>
          </w:p>
        </w:tc>
        <w:tc>
          <w:tcPr>
            <w:tcW w:w="1109"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701"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992"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42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Грошові кошти та їх еквіваленти</w:t>
            </w:r>
          </w:p>
        </w:tc>
        <w:tc>
          <w:tcPr>
            <w:tcW w:w="110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21613</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18611</w:t>
            </w:r>
          </w:p>
        </w:tc>
        <w:tc>
          <w:tcPr>
            <w:tcW w:w="9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7711</w:t>
            </w:r>
          </w:p>
        </w:tc>
        <w:tc>
          <w:tcPr>
            <w:tcW w:w="15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47935</w:t>
            </w:r>
          </w:p>
        </w:tc>
      </w:tr>
      <w:tr w:rsidR="00A123B9" w:rsidRPr="000F4905" w:rsidTr="00A123B9">
        <w:trPr>
          <w:trHeight w:val="243"/>
        </w:trPr>
        <w:tc>
          <w:tcPr>
            <w:tcW w:w="442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Торгівельна дебіторська заборгованість</w:t>
            </w:r>
          </w:p>
        </w:tc>
        <w:tc>
          <w:tcPr>
            <w:tcW w:w="110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4</w:t>
            </w:r>
          </w:p>
        </w:tc>
      </w:tr>
      <w:tr w:rsidR="00A123B9" w:rsidRPr="000F4905" w:rsidTr="00A123B9">
        <w:trPr>
          <w:trHeight w:val="312"/>
        </w:trPr>
        <w:tc>
          <w:tcPr>
            <w:tcW w:w="442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Дебіторська заборгованість  за виданими авансами</w:t>
            </w:r>
          </w:p>
        </w:tc>
        <w:tc>
          <w:tcPr>
            <w:tcW w:w="110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47</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47</w:t>
            </w:r>
          </w:p>
        </w:tc>
      </w:tr>
      <w:tr w:rsidR="00A123B9" w:rsidRPr="000F4905" w:rsidTr="00A123B9">
        <w:trPr>
          <w:trHeight w:val="312"/>
        </w:trPr>
        <w:tc>
          <w:tcPr>
            <w:tcW w:w="4420" w:type="dxa"/>
            <w:tcBorders>
              <w:top w:val="nil"/>
              <w:left w:val="nil"/>
              <w:bottom w:val="nil"/>
              <w:right w:val="nil"/>
            </w:tcBorders>
            <w:shd w:val="clear" w:color="auto" w:fill="auto"/>
            <w:noWrap/>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Дебіторська заборгованість з нарахованих доходів</w:t>
            </w:r>
          </w:p>
        </w:tc>
        <w:tc>
          <w:tcPr>
            <w:tcW w:w="110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262</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9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272</w:t>
            </w:r>
          </w:p>
        </w:tc>
      </w:tr>
      <w:tr w:rsidR="00A123B9" w:rsidRPr="000F4905" w:rsidTr="00A123B9">
        <w:trPr>
          <w:trHeight w:val="312"/>
        </w:trPr>
        <w:tc>
          <w:tcPr>
            <w:tcW w:w="4420" w:type="dxa"/>
            <w:tcBorders>
              <w:top w:val="nil"/>
              <w:left w:val="nil"/>
              <w:bottom w:val="nil"/>
              <w:right w:val="nil"/>
            </w:tcBorders>
            <w:shd w:val="clear" w:color="auto" w:fill="auto"/>
            <w:vAlign w:val="center"/>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Інша дебіторська заборгованість</w:t>
            </w:r>
          </w:p>
        </w:tc>
        <w:tc>
          <w:tcPr>
            <w:tcW w:w="110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1 790</w:t>
            </w:r>
          </w:p>
        </w:tc>
        <w:tc>
          <w:tcPr>
            <w:tcW w:w="1701"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1 790</w:t>
            </w:r>
          </w:p>
        </w:tc>
      </w:tr>
      <w:tr w:rsidR="00A123B9" w:rsidRPr="000F4905" w:rsidTr="00A123B9">
        <w:trPr>
          <w:trHeight w:val="312"/>
        </w:trPr>
        <w:tc>
          <w:tcPr>
            <w:tcW w:w="4420" w:type="dxa"/>
            <w:tcBorders>
              <w:top w:val="nil"/>
              <w:left w:val="nil"/>
              <w:right w:val="nil"/>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109"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701"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992"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59"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420" w:type="dxa"/>
            <w:tcBorders>
              <w:top w:val="nil"/>
              <w:left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Фінансові зобов'язання</w:t>
            </w:r>
          </w:p>
        </w:tc>
        <w:tc>
          <w:tcPr>
            <w:tcW w:w="1109"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701"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992"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559" w:type="dxa"/>
            <w:tcBorders>
              <w:top w:val="nil"/>
              <w:left w:val="nil"/>
              <w:right w:val="nil"/>
            </w:tcBorders>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420" w:type="dxa"/>
            <w:tcBorders>
              <w:top w:val="nil"/>
              <w:left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bCs/>
                <w:sz w:val="24"/>
                <w:szCs w:val="24"/>
              </w:rPr>
            </w:pPr>
            <w:r w:rsidRPr="000F4905">
              <w:rPr>
                <w:rFonts w:ascii="Times New Roman" w:hAnsi="Times New Roman" w:cs="Times New Roman"/>
                <w:bCs/>
                <w:sz w:val="24"/>
                <w:szCs w:val="24"/>
              </w:rPr>
              <w:t>Резерв збитківабо резерв належних</w:t>
            </w:r>
          </w:p>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Cs/>
                <w:sz w:val="24"/>
                <w:szCs w:val="24"/>
              </w:rPr>
              <w:t>виплат</w:t>
            </w:r>
          </w:p>
        </w:tc>
        <w:tc>
          <w:tcPr>
            <w:tcW w:w="1109"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Cs/>
                <w:sz w:val="24"/>
                <w:szCs w:val="24"/>
              </w:rPr>
            </w:pPr>
            <w:r w:rsidRPr="000F4905">
              <w:rPr>
                <w:rFonts w:ascii="Times New Roman" w:hAnsi="Times New Roman" w:cs="Times New Roman"/>
                <w:sz w:val="24"/>
                <w:szCs w:val="24"/>
              </w:rPr>
              <w:t>-</w:t>
            </w:r>
          </w:p>
        </w:tc>
        <w:tc>
          <w:tcPr>
            <w:tcW w:w="1701"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(17 891)</w:t>
            </w:r>
          </w:p>
        </w:tc>
        <w:tc>
          <w:tcPr>
            <w:tcW w:w="992"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sz w:val="24"/>
                <w:szCs w:val="24"/>
              </w:rPr>
              <w:t>(17 891)</w:t>
            </w:r>
          </w:p>
        </w:tc>
      </w:tr>
      <w:tr w:rsidR="00A123B9" w:rsidRPr="000F4905" w:rsidTr="00A123B9">
        <w:trPr>
          <w:trHeight w:val="312"/>
        </w:trPr>
        <w:tc>
          <w:tcPr>
            <w:tcW w:w="4420" w:type="dxa"/>
            <w:tcBorders>
              <w:top w:val="nil"/>
              <w:left w:val="nil"/>
              <w:right w:val="nil"/>
            </w:tcBorders>
            <w:shd w:val="clear" w:color="auto" w:fill="auto"/>
            <w:noWrap/>
            <w:vAlign w:val="bottom"/>
          </w:tcPr>
          <w:p w:rsidR="00A123B9" w:rsidRPr="000F4905" w:rsidRDefault="00A123B9" w:rsidP="000F4905">
            <w:pPr>
              <w:widowControl w:val="0"/>
              <w:spacing w:after="0" w:line="240" w:lineRule="auto"/>
              <w:rPr>
                <w:rFonts w:ascii="Times New Roman" w:hAnsi="Times New Roman" w:cs="Times New Roman"/>
                <w:bCs/>
                <w:sz w:val="24"/>
                <w:szCs w:val="24"/>
              </w:rPr>
            </w:pPr>
            <w:r w:rsidRPr="000F4905">
              <w:rPr>
                <w:rFonts w:ascii="Times New Roman" w:hAnsi="Times New Roman" w:cs="Times New Roman"/>
                <w:sz w:val="24"/>
                <w:szCs w:val="24"/>
              </w:rPr>
              <w:t>Поточна кредиторська заборгованість за товари, роботи, послуги</w:t>
            </w:r>
          </w:p>
        </w:tc>
        <w:tc>
          <w:tcPr>
            <w:tcW w:w="1109"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Cs/>
                <w:sz w:val="24"/>
                <w:szCs w:val="24"/>
              </w:rPr>
            </w:pPr>
            <w:r w:rsidRPr="000F4905">
              <w:rPr>
                <w:rFonts w:ascii="Times New Roman" w:hAnsi="Times New Roman" w:cs="Times New Roman"/>
                <w:sz w:val="24"/>
                <w:szCs w:val="24"/>
              </w:rPr>
              <w:t>(4)</w:t>
            </w:r>
          </w:p>
        </w:tc>
        <w:tc>
          <w:tcPr>
            <w:tcW w:w="1701"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992"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sz w:val="24"/>
                <w:szCs w:val="24"/>
              </w:rPr>
            </w:pPr>
            <w:r w:rsidRPr="000F4905">
              <w:rPr>
                <w:rFonts w:ascii="Times New Roman" w:hAnsi="Times New Roman" w:cs="Times New Roman"/>
                <w:sz w:val="24"/>
                <w:szCs w:val="24"/>
              </w:rPr>
              <w:t>(4)</w:t>
            </w:r>
          </w:p>
        </w:tc>
      </w:tr>
      <w:tr w:rsidR="00A123B9" w:rsidRPr="000F4905" w:rsidTr="00A123B9">
        <w:trPr>
          <w:trHeight w:val="312"/>
        </w:trPr>
        <w:tc>
          <w:tcPr>
            <w:tcW w:w="4420" w:type="dxa"/>
            <w:tcBorders>
              <w:left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страховою діяльністю</w:t>
            </w:r>
          </w:p>
        </w:tc>
        <w:tc>
          <w:tcPr>
            <w:tcW w:w="1109" w:type="dxa"/>
            <w:tcBorders>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w:t>
            </w:r>
          </w:p>
        </w:tc>
        <w:tc>
          <w:tcPr>
            <w:tcW w:w="1701" w:type="dxa"/>
            <w:tcBorders>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(1 012)</w:t>
            </w:r>
          </w:p>
        </w:tc>
        <w:tc>
          <w:tcPr>
            <w:tcW w:w="992" w:type="dxa"/>
            <w:tcBorders>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559" w:type="dxa"/>
            <w:tcBorders>
              <w:left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(1 013)</w:t>
            </w:r>
          </w:p>
        </w:tc>
      </w:tr>
      <w:tr w:rsidR="00A123B9" w:rsidRPr="000F4905" w:rsidTr="00A123B9">
        <w:trPr>
          <w:trHeight w:val="312"/>
        </w:trPr>
        <w:tc>
          <w:tcPr>
            <w:tcW w:w="4420" w:type="dxa"/>
            <w:tcBorders>
              <w:top w:val="single" w:sz="4" w:space="0" w:color="auto"/>
              <w:left w:val="nil"/>
              <w:bottom w:val="nil"/>
              <w:right w:val="nil"/>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Чиста довга/(коротка) позиція</w:t>
            </w:r>
          </w:p>
        </w:tc>
        <w:tc>
          <w:tcPr>
            <w:tcW w:w="1109" w:type="dxa"/>
            <w:tcBorders>
              <w:top w:val="single" w:sz="4" w:space="0" w:color="auto"/>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23711</w:t>
            </w:r>
          </w:p>
        </w:tc>
        <w:tc>
          <w:tcPr>
            <w:tcW w:w="1701" w:type="dxa"/>
            <w:tcBorders>
              <w:top w:val="single" w:sz="4" w:space="0" w:color="auto"/>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(282)</w:t>
            </w:r>
          </w:p>
        </w:tc>
        <w:tc>
          <w:tcPr>
            <w:tcW w:w="992" w:type="dxa"/>
            <w:tcBorders>
              <w:top w:val="single" w:sz="4" w:space="0" w:color="auto"/>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7711</w:t>
            </w:r>
          </w:p>
        </w:tc>
        <w:tc>
          <w:tcPr>
            <w:tcW w:w="1559" w:type="dxa"/>
            <w:tcBorders>
              <w:top w:val="single" w:sz="4" w:space="0" w:color="auto"/>
              <w:left w:val="nil"/>
              <w:bottom w:val="nil"/>
              <w:right w:val="nil"/>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sz w:val="24"/>
                <w:szCs w:val="24"/>
              </w:rPr>
              <w:t>31140</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Рівень валютного ризику Компанії на 30вересня 2022 року представлений наступним чином:</w:t>
      </w:r>
    </w:p>
    <w:tbl>
      <w:tblPr>
        <w:tblW w:w="9781" w:type="dxa"/>
        <w:tblInd w:w="108" w:type="dxa"/>
        <w:tblLook w:val="04A0"/>
      </w:tblPr>
      <w:tblGrid>
        <w:gridCol w:w="4420"/>
        <w:gridCol w:w="1109"/>
        <w:gridCol w:w="1701"/>
        <w:gridCol w:w="1134"/>
        <w:gridCol w:w="1417"/>
      </w:tblGrid>
      <w:tr w:rsidR="00A123B9" w:rsidRPr="000F4905" w:rsidTr="00A123B9">
        <w:trPr>
          <w:trHeight w:val="312"/>
        </w:trPr>
        <w:tc>
          <w:tcPr>
            <w:tcW w:w="4420"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 </w:t>
            </w:r>
          </w:p>
        </w:tc>
        <w:tc>
          <w:tcPr>
            <w:tcW w:w="1109"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Гривня</w:t>
            </w:r>
          </w:p>
        </w:tc>
        <w:tc>
          <w:tcPr>
            <w:tcW w:w="1701"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Долар США</w:t>
            </w:r>
          </w:p>
        </w:tc>
        <w:tc>
          <w:tcPr>
            <w:tcW w:w="1134"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Євро</w:t>
            </w:r>
          </w:p>
        </w:tc>
        <w:tc>
          <w:tcPr>
            <w:tcW w:w="1417" w:type="dxa"/>
            <w:tcBorders>
              <w:bottom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Всього</w:t>
            </w:r>
          </w:p>
        </w:tc>
      </w:tr>
      <w:tr w:rsidR="00A123B9" w:rsidRPr="000F4905" w:rsidTr="00A123B9">
        <w:trPr>
          <w:trHeight w:val="312"/>
        </w:trPr>
        <w:tc>
          <w:tcPr>
            <w:tcW w:w="4420"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Фінансові активи</w:t>
            </w:r>
          </w:p>
        </w:tc>
        <w:tc>
          <w:tcPr>
            <w:tcW w:w="1109"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c>
          <w:tcPr>
            <w:tcW w:w="1701"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34"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17" w:type="dxa"/>
            <w:tcBorders>
              <w:top w:val="single" w:sz="4" w:space="0" w:color="auto"/>
            </w:tcBorders>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r>
      <w:tr w:rsidR="00A123B9" w:rsidRPr="000F4905" w:rsidTr="00A123B9">
        <w:trPr>
          <w:trHeight w:val="312"/>
        </w:trPr>
        <w:tc>
          <w:tcPr>
            <w:tcW w:w="4420"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Грошові кошти та їх еквіваленти</w:t>
            </w:r>
          </w:p>
        </w:tc>
        <w:tc>
          <w:tcPr>
            <w:tcW w:w="1109"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22582</w:t>
            </w:r>
          </w:p>
        </w:tc>
        <w:tc>
          <w:tcPr>
            <w:tcW w:w="1701"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20337</w:t>
            </w:r>
          </w:p>
        </w:tc>
        <w:tc>
          <w:tcPr>
            <w:tcW w:w="1134"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7 113</w:t>
            </w:r>
          </w:p>
        </w:tc>
        <w:tc>
          <w:tcPr>
            <w:tcW w:w="1417"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50 032</w:t>
            </w:r>
          </w:p>
        </w:tc>
      </w:tr>
      <w:tr w:rsidR="00A123B9" w:rsidRPr="000F4905" w:rsidTr="00A123B9">
        <w:trPr>
          <w:trHeight w:val="312"/>
        </w:trPr>
        <w:tc>
          <w:tcPr>
            <w:tcW w:w="4420"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Торгівельна дебіторська заборгованість</w:t>
            </w:r>
          </w:p>
        </w:tc>
        <w:tc>
          <w:tcPr>
            <w:tcW w:w="1109"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13</w:t>
            </w:r>
          </w:p>
        </w:tc>
        <w:tc>
          <w:tcPr>
            <w:tcW w:w="1701"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34"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13</w:t>
            </w:r>
          </w:p>
        </w:tc>
      </w:tr>
      <w:tr w:rsidR="00A123B9" w:rsidRPr="000F4905" w:rsidTr="00A123B9">
        <w:trPr>
          <w:trHeight w:val="312"/>
        </w:trPr>
        <w:tc>
          <w:tcPr>
            <w:tcW w:w="4420"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Дебіторська заборгованість  за виданими авансами</w:t>
            </w:r>
          </w:p>
        </w:tc>
        <w:tc>
          <w:tcPr>
            <w:tcW w:w="1109"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69</w:t>
            </w:r>
          </w:p>
        </w:tc>
        <w:tc>
          <w:tcPr>
            <w:tcW w:w="1701"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34"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69</w:t>
            </w:r>
          </w:p>
        </w:tc>
      </w:tr>
      <w:tr w:rsidR="00A123B9" w:rsidRPr="000F4905" w:rsidTr="00A123B9">
        <w:trPr>
          <w:trHeight w:val="312"/>
        </w:trPr>
        <w:tc>
          <w:tcPr>
            <w:tcW w:w="4420"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Дебіторська заборгованість з нарахованих доходів</w:t>
            </w:r>
          </w:p>
        </w:tc>
        <w:tc>
          <w:tcPr>
            <w:tcW w:w="1109"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299</w:t>
            </w:r>
          </w:p>
        </w:tc>
        <w:tc>
          <w:tcPr>
            <w:tcW w:w="1701"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12</w:t>
            </w:r>
          </w:p>
        </w:tc>
        <w:tc>
          <w:tcPr>
            <w:tcW w:w="1134"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311</w:t>
            </w:r>
          </w:p>
        </w:tc>
      </w:tr>
      <w:tr w:rsidR="00A123B9" w:rsidRPr="000F4905" w:rsidTr="00A123B9">
        <w:trPr>
          <w:trHeight w:val="312"/>
        </w:trPr>
        <w:tc>
          <w:tcPr>
            <w:tcW w:w="4420" w:type="dxa"/>
            <w:shd w:val="clear" w:color="auto" w:fill="auto"/>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Інша дебіторська заборгованість</w:t>
            </w:r>
          </w:p>
        </w:tc>
        <w:tc>
          <w:tcPr>
            <w:tcW w:w="1109"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14</w:t>
            </w:r>
          </w:p>
        </w:tc>
        <w:tc>
          <w:tcPr>
            <w:tcW w:w="1701"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34"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14</w:t>
            </w:r>
          </w:p>
        </w:tc>
      </w:tr>
      <w:tr w:rsidR="00A123B9" w:rsidRPr="000F4905" w:rsidTr="00A123B9">
        <w:trPr>
          <w:trHeight w:val="312"/>
        </w:trPr>
        <w:tc>
          <w:tcPr>
            <w:tcW w:w="9781" w:type="dxa"/>
            <w:gridSpan w:val="5"/>
            <w:shd w:val="clear" w:color="auto" w:fill="auto"/>
            <w:vAlign w:val="bottom"/>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r>
      <w:tr w:rsidR="00A123B9" w:rsidRPr="000F4905" w:rsidTr="00A123B9">
        <w:trPr>
          <w:trHeight w:val="312"/>
        </w:trPr>
        <w:tc>
          <w:tcPr>
            <w:tcW w:w="4420"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b/>
                <w:bCs/>
                <w:sz w:val="24"/>
                <w:szCs w:val="24"/>
              </w:rPr>
              <w:t>Фінансові зобов'язання</w:t>
            </w:r>
          </w:p>
        </w:tc>
        <w:tc>
          <w:tcPr>
            <w:tcW w:w="1109"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701"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134"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1417"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p>
        </w:tc>
      </w:tr>
      <w:tr w:rsidR="00A123B9" w:rsidRPr="000F4905" w:rsidTr="00A123B9">
        <w:trPr>
          <w:trHeight w:val="312"/>
        </w:trPr>
        <w:tc>
          <w:tcPr>
            <w:tcW w:w="4420"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bCs/>
                <w:sz w:val="24"/>
                <w:szCs w:val="24"/>
              </w:rPr>
            </w:pPr>
            <w:r w:rsidRPr="000F4905">
              <w:rPr>
                <w:rFonts w:ascii="Times New Roman" w:hAnsi="Times New Roman" w:cs="Times New Roman"/>
                <w:bCs/>
                <w:sz w:val="24"/>
                <w:szCs w:val="24"/>
              </w:rPr>
              <w:t>Резерв збитківабо резерв належних</w:t>
            </w:r>
          </w:p>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bCs/>
                <w:sz w:val="24"/>
                <w:szCs w:val="24"/>
              </w:rPr>
              <w:t>виплат</w:t>
            </w:r>
          </w:p>
        </w:tc>
        <w:tc>
          <w:tcPr>
            <w:tcW w:w="1109"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Cs/>
                <w:sz w:val="24"/>
                <w:szCs w:val="24"/>
              </w:rPr>
              <w:t>(7)</w:t>
            </w:r>
          </w:p>
        </w:tc>
        <w:tc>
          <w:tcPr>
            <w:tcW w:w="1701"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(17 892)</w:t>
            </w:r>
          </w:p>
        </w:tc>
        <w:tc>
          <w:tcPr>
            <w:tcW w:w="1134"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sz w:val="24"/>
                <w:szCs w:val="24"/>
              </w:rPr>
              <w:t>(17 899)</w:t>
            </w:r>
          </w:p>
        </w:tc>
      </w:tr>
      <w:tr w:rsidR="00A123B9" w:rsidRPr="000F4905" w:rsidTr="00A123B9">
        <w:trPr>
          <w:trHeight w:val="312"/>
        </w:trPr>
        <w:tc>
          <w:tcPr>
            <w:tcW w:w="4420"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товари, роботи, послуги</w:t>
            </w:r>
          </w:p>
        </w:tc>
        <w:tc>
          <w:tcPr>
            <w:tcW w:w="1109"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Cs/>
                <w:sz w:val="24"/>
                <w:szCs w:val="24"/>
              </w:rPr>
              <w:t>(16)</w:t>
            </w:r>
          </w:p>
        </w:tc>
        <w:tc>
          <w:tcPr>
            <w:tcW w:w="1701"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134"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sz w:val="24"/>
                <w:szCs w:val="24"/>
              </w:rPr>
              <w:t>(16)</w:t>
            </w:r>
          </w:p>
        </w:tc>
      </w:tr>
      <w:tr w:rsidR="00A123B9" w:rsidRPr="000F4905" w:rsidTr="00A123B9">
        <w:trPr>
          <w:trHeight w:val="312"/>
        </w:trPr>
        <w:tc>
          <w:tcPr>
            <w:tcW w:w="4420" w:type="dxa"/>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Поточна кредиторська заборгованість за страховою діяльністю</w:t>
            </w:r>
          </w:p>
        </w:tc>
        <w:tc>
          <w:tcPr>
            <w:tcW w:w="1109"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701"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(862)</w:t>
            </w:r>
          </w:p>
        </w:tc>
        <w:tc>
          <w:tcPr>
            <w:tcW w:w="1134"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w:t>
            </w:r>
          </w:p>
        </w:tc>
        <w:tc>
          <w:tcPr>
            <w:tcW w:w="1417" w:type="dxa"/>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(862)</w:t>
            </w:r>
          </w:p>
        </w:tc>
      </w:tr>
      <w:tr w:rsidR="00A123B9" w:rsidRPr="000F4905" w:rsidTr="00A123B9">
        <w:trPr>
          <w:trHeight w:val="312"/>
        </w:trPr>
        <w:tc>
          <w:tcPr>
            <w:tcW w:w="4420" w:type="dxa"/>
            <w:tcBorders>
              <w:top w:val="single" w:sz="4" w:space="0" w:color="auto"/>
            </w:tcBorders>
            <w:shd w:val="clear" w:color="auto" w:fill="auto"/>
            <w:vAlign w:val="bottom"/>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b/>
                <w:bCs/>
                <w:sz w:val="24"/>
                <w:szCs w:val="24"/>
              </w:rPr>
              <w:t>Чиста довга/(коротка) позиція</w:t>
            </w:r>
          </w:p>
        </w:tc>
        <w:tc>
          <w:tcPr>
            <w:tcW w:w="1109" w:type="dxa"/>
            <w:tcBorders>
              <w:top w:val="single" w:sz="4" w:space="0" w:color="auto"/>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
                <w:bCs/>
                <w:sz w:val="24"/>
                <w:szCs w:val="24"/>
              </w:rPr>
              <w:t>22954</w:t>
            </w:r>
          </w:p>
        </w:tc>
        <w:tc>
          <w:tcPr>
            <w:tcW w:w="1701" w:type="dxa"/>
            <w:tcBorders>
              <w:top w:val="single" w:sz="4" w:space="0" w:color="auto"/>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
                <w:bCs/>
                <w:sz w:val="24"/>
                <w:szCs w:val="24"/>
              </w:rPr>
              <w:t>1 595</w:t>
            </w:r>
          </w:p>
        </w:tc>
        <w:tc>
          <w:tcPr>
            <w:tcW w:w="1134" w:type="dxa"/>
            <w:tcBorders>
              <w:top w:val="single" w:sz="4" w:space="0" w:color="auto"/>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b/>
                <w:bCs/>
                <w:sz w:val="24"/>
                <w:szCs w:val="24"/>
              </w:rPr>
              <w:t>7113</w:t>
            </w:r>
          </w:p>
        </w:tc>
        <w:tc>
          <w:tcPr>
            <w:tcW w:w="1417" w:type="dxa"/>
            <w:tcBorders>
              <w:top w:val="single" w:sz="4" w:space="0" w:color="auto"/>
            </w:tcBorders>
            <w:shd w:val="clear" w:color="auto" w:fill="auto"/>
            <w:noWrap/>
            <w:vAlign w:val="center"/>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31662</w:t>
            </w:r>
          </w:p>
        </w:tc>
      </w:tr>
    </w:tbl>
    <w:p w:rsidR="00A123B9" w:rsidRPr="000F4905" w:rsidRDefault="00A123B9" w:rsidP="000F4905">
      <w:pPr>
        <w:widowControl w:val="0"/>
        <w:spacing w:after="0" w:line="240" w:lineRule="auto"/>
        <w:jc w:val="both"/>
        <w:rPr>
          <w:rFonts w:ascii="Times New Roman" w:hAnsi="Times New Roman" w:cs="Times New Roman"/>
          <w:sz w:val="24"/>
          <w:szCs w:val="24"/>
        </w:rPr>
      </w:pPr>
    </w:p>
    <w:p w:rsidR="00A123B9" w:rsidRPr="000F4905" w:rsidRDefault="00A123B9" w:rsidP="000F4905">
      <w:pPr>
        <w:widowControl w:val="0"/>
        <w:spacing w:after="0" w:line="240" w:lineRule="auto"/>
        <w:jc w:val="both"/>
        <w:rPr>
          <w:rFonts w:ascii="Times New Roman" w:hAnsi="Times New Roman" w:cs="Times New Roman"/>
          <w:sz w:val="24"/>
          <w:szCs w:val="24"/>
        </w:rPr>
      </w:pPr>
      <w:r w:rsidRPr="000F4905">
        <w:rPr>
          <w:rFonts w:ascii="Times New Roman" w:hAnsi="Times New Roman" w:cs="Times New Roman"/>
          <w:sz w:val="24"/>
          <w:szCs w:val="24"/>
        </w:rPr>
        <w:t>Зміна курсу гривні, як наведено в наступній таблиці, по відношенню до наступних валют станом на 30вересня 2023 року та 30вересня 2022 року призведе до таких змін прибутку до оподаткування:</w:t>
      </w:r>
    </w:p>
    <w:tbl>
      <w:tblPr>
        <w:tblW w:w="9937" w:type="dxa"/>
        <w:tblInd w:w="108" w:type="dxa"/>
        <w:tblLook w:val="04A0"/>
      </w:tblPr>
      <w:tblGrid>
        <w:gridCol w:w="2127"/>
        <w:gridCol w:w="2835"/>
        <w:gridCol w:w="2707"/>
        <w:gridCol w:w="2268"/>
      </w:tblGrid>
      <w:tr w:rsidR="00A123B9" w:rsidRPr="000F4905" w:rsidTr="00A123B9">
        <w:trPr>
          <w:trHeight w:val="312"/>
        </w:trPr>
        <w:tc>
          <w:tcPr>
            <w:tcW w:w="2127" w:type="dxa"/>
            <w:shd w:val="clear" w:color="auto" w:fill="auto"/>
            <w:noWrap/>
            <w:hideMark/>
          </w:tcPr>
          <w:p w:rsidR="00A123B9" w:rsidRPr="000F4905" w:rsidRDefault="00A123B9" w:rsidP="000F4905">
            <w:pPr>
              <w:widowControl w:val="0"/>
              <w:spacing w:after="0" w:line="240" w:lineRule="auto"/>
              <w:jc w:val="right"/>
              <w:rPr>
                <w:rFonts w:ascii="Times New Roman" w:hAnsi="Times New Roman" w:cs="Times New Roman"/>
                <w:sz w:val="24"/>
                <w:szCs w:val="24"/>
              </w:rPr>
            </w:pPr>
          </w:p>
        </w:tc>
        <w:tc>
          <w:tcPr>
            <w:tcW w:w="2835" w:type="dxa"/>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Зміна валютного курсу</w:t>
            </w:r>
          </w:p>
        </w:tc>
        <w:tc>
          <w:tcPr>
            <w:tcW w:w="4975" w:type="dxa"/>
            <w:gridSpan w:val="2"/>
            <w:shd w:val="clear" w:color="auto" w:fill="auto"/>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Вплив на прибуток до оподаткування</w:t>
            </w:r>
          </w:p>
        </w:tc>
      </w:tr>
      <w:tr w:rsidR="00A123B9" w:rsidRPr="000F4905" w:rsidTr="00A123B9">
        <w:trPr>
          <w:trHeight w:val="312"/>
        </w:trPr>
        <w:tc>
          <w:tcPr>
            <w:tcW w:w="2127"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b/>
                <w:bCs/>
                <w:sz w:val="24"/>
                <w:szCs w:val="24"/>
              </w:rPr>
            </w:pPr>
            <w:r w:rsidRPr="000F4905">
              <w:rPr>
                <w:rFonts w:ascii="Times New Roman" w:hAnsi="Times New Roman" w:cs="Times New Roman"/>
                <w:b/>
                <w:bCs/>
                <w:sz w:val="24"/>
                <w:szCs w:val="24"/>
              </w:rPr>
              <w:t>Валюта</w:t>
            </w:r>
          </w:p>
        </w:tc>
        <w:tc>
          <w:tcPr>
            <w:tcW w:w="2835"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 </w:t>
            </w:r>
          </w:p>
        </w:tc>
        <w:tc>
          <w:tcPr>
            <w:tcW w:w="2707" w:type="dxa"/>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30.09.2023</w:t>
            </w:r>
          </w:p>
        </w:tc>
        <w:tc>
          <w:tcPr>
            <w:tcW w:w="2268" w:type="dxa"/>
            <w:shd w:val="clear" w:color="auto" w:fill="auto"/>
            <w:vAlign w:val="bottom"/>
            <w:hideMark/>
          </w:tcPr>
          <w:p w:rsidR="00A123B9" w:rsidRPr="000F4905" w:rsidRDefault="00A123B9" w:rsidP="000F4905">
            <w:pPr>
              <w:widowControl w:val="0"/>
              <w:spacing w:after="0" w:line="240" w:lineRule="auto"/>
              <w:jc w:val="right"/>
              <w:rPr>
                <w:rFonts w:ascii="Times New Roman" w:hAnsi="Times New Roman" w:cs="Times New Roman"/>
                <w:b/>
                <w:bCs/>
                <w:sz w:val="24"/>
                <w:szCs w:val="24"/>
              </w:rPr>
            </w:pPr>
            <w:r w:rsidRPr="000F4905">
              <w:rPr>
                <w:rFonts w:ascii="Times New Roman" w:hAnsi="Times New Roman" w:cs="Times New Roman"/>
                <w:b/>
                <w:bCs/>
                <w:sz w:val="24"/>
                <w:szCs w:val="24"/>
              </w:rPr>
              <w:t>30.09.2022</w:t>
            </w:r>
          </w:p>
        </w:tc>
      </w:tr>
      <w:tr w:rsidR="00A123B9" w:rsidRPr="000F4905" w:rsidTr="00A123B9">
        <w:trPr>
          <w:trHeight w:val="312"/>
        </w:trPr>
        <w:tc>
          <w:tcPr>
            <w:tcW w:w="2127"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Долар США</w:t>
            </w:r>
          </w:p>
        </w:tc>
        <w:tc>
          <w:tcPr>
            <w:tcW w:w="2835"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2707" w:type="dxa"/>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-28</w:t>
            </w:r>
          </w:p>
        </w:tc>
        <w:tc>
          <w:tcPr>
            <w:tcW w:w="2268"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-160</w:t>
            </w:r>
          </w:p>
        </w:tc>
      </w:tr>
      <w:tr w:rsidR="00A123B9" w:rsidRPr="000F4905" w:rsidTr="00A123B9">
        <w:trPr>
          <w:trHeight w:val="312"/>
        </w:trPr>
        <w:tc>
          <w:tcPr>
            <w:tcW w:w="2127"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Євро</w:t>
            </w:r>
          </w:p>
        </w:tc>
        <w:tc>
          <w:tcPr>
            <w:tcW w:w="2835"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2707" w:type="dxa"/>
            <w:shd w:val="clear" w:color="auto" w:fill="auto"/>
            <w:noWrap/>
            <w:vAlign w:val="bottom"/>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-771</w:t>
            </w:r>
          </w:p>
        </w:tc>
        <w:tc>
          <w:tcPr>
            <w:tcW w:w="2268"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-711</w:t>
            </w:r>
          </w:p>
        </w:tc>
      </w:tr>
      <w:tr w:rsidR="00A123B9" w:rsidRPr="000F4905" w:rsidTr="00A123B9">
        <w:trPr>
          <w:trHeight w:val="312"/>
        </w:trPr>
        <w:tc>
          <w:tcPr>
            <w:tcW w:w="2127"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Долар США</w:t>
            </w:r>
          </w:p>
        </w:tc>
        <w:tc>
          <w:tcPr>
            <w:tcW w:w="2835"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2707" w:type="dxa"/>
            <w:shd w:val="clear" w:color="auto" w:fill="auto"/>
            <w:noWrap/>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-28</w:t>
            </w:r>
          </w:p>
        </w:tc>
        <w:tc>
          <w:tcPr>
            <w:tcW w:w="2268"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160</w:t>
            </w:r>
          </w:p>
        </w:tc>
      </w:tr>
      <w:tr w:rsidR="00A123B9" w:rsidRPr="000F4905" w:rsidTr="00A123B9">
        <w:trPr>
          <w:trHeight w:val="312"/>
        </w:trPr>
        <w:tc>
          <w:tcPr>
            <w:tcW w:w="2127" w:type="dxa"/>
            <w:shd w:val="clear" w:color="auto" w:fill="auto"/>
            <w:noWrap/>
            <w:vAlign w:val="bottom"/>
            <w:hideMark/>
          </w:tcPr>
          <w:p w:rsidR="00A123B9" w:rsidRPr="000F4905" w:rsidRDefault="00A123B9" w:rsidP="000F4905">
            <w:pPr>
              <w:widowControl w:val="0"/>
              <w:spacing w:after="0" w:line="240" w:lineRule="auto"/>
              <w:rPr>
                <w:rFonts w:ascii="Times New Roman" w:hAnsi="Times New Roman" w:cs="Times New Roman"/>
                <w:sz w:val="24"/>
                <w:szCs w:val="24"/>
              </w:rPr>
            </w:pPr>
            <w:r w:rsidRPr="000F4905">
              <w:rPr>
                <w:rFonts w:ascii="Times New Roman" w:hAnsi="Times New Roman" w:cs="Times New Roman"/>
                <w:sz w:val="24"/>
                <w:szCs w:val="24"/>
              </w:rPr>
              <w:t>Євро</w:t>
            </w:r>
          </w:p>
        </w:tc>
        <w:tc>
          <w:tcPr>
            <w:tcW w:w="2835"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10%</w:t>
            </w:r>
          </w:p>
        </w:tc>
        <w:tc>
          <w:tcPr>
            <w:tcW w:w="2707" w:type="dxa"/>
            <w:shd w:val="clear" w:color="auto" w:fill="auto"/>
            <w:noWrap/>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771</w:t>
            </w:r>
          </w:p>
        </w:tc>
        <w:tc>
          <w:tcPr>
            <w:tcW w:w="2268" w:type="dxa"/>
            <w:shd w:val="clear" w:color="auto" w:fill="auto"/>
            <w:noWrap/>
            <w:vAlign w:val="bottom"/>
            <w:hideMark/>
          </w:tcPr>
          <w:p w:rsidR="00A123B9" w:rsidRPr="000F4905" w:rsidRDefault="00A123B9" w:rsidP="000F4905">
            <w:pPr>
              <w:widowControl w:val="0"/>
              <w:spacing w:after="0" w:line="240" w:lineRule="auto"/>
              <w:jc w:val="right"/>
              <w:rPr>
                <w:rFonts w:ascii="Times New Roman" w:hAnsi="Times New Roman" w:cs="Times New Roman"/>
                <w:sz w:val="24"/>
                <w:szCs w:val="24"/>
              </w:rPr>
            </w:pPr>
            <w:r w:rsidRPr="000F4905">
              <w:rPr>
                <w:rFonts w:ascii="Times New Roman" w:hAnsi="Times New Roman" w:cs="Times New Roman"/>
                <w:sz w:val="24"/>
                <w:szCs w:val="24"/>
              </w:rPr>
              <w:t>711</w:t>
            </w:r>
          </w:p>
        </w:tc>
      </w:tr>
    </w:tbl>
    <w:p w:rsidR="00A123B9" w:rsidRPr="000F4905" w:rsidRDefault="00A123B9" w:rsidP="000F4905">
      <w:pPr>
        <w:pStyle w:val="af6"/>
        <w:widowControl w:val="0"/>
        <w:spacing w:before="0" w:beforeAutospacing="0" w:after="0" w:afterAutospacing="0"/>
        <w:jc w:val="both"/>
        <w:rPr>
          <w:bCs/>
          <w:iCs/>
          <w:lang w:val="uk-UA"/>
        </w:rPr>
      </w:pPr>
    </w:p>
    <w:p w:rsidR="00A123B9" w:rsidRPr="000F4905" w:rsidRDefault="00A123B9" w:rsidP="000F4905">
      <w:pPr>
        <w:pStyle w:val="af6"/>
        <w:widowControl w:val="0"/>
        <w:spacing w:before="0" w:beforeAutospacing="0" w:after="0" w:afterAutospacing="0"/>
        <w:jc w:val="both"/>
        <w:rPr>
          <w:b/>
          <w:i/>
          <w:lang w:val="uk-UA"/>
        </w:rPr>
      </w:pPr>
      <w:r w:rsidRPr="000F4905">
        <w:rPr>
          <w:b/>
          <w:i/>
          <w:lang w:val="uk-UA"/>
        </w:rPr>
        <w:lastRenderedPageBreak/>
        <w:t>Управління капіталом</w:t>
      </w:r>
    </w:p>
    <w:p w:rsidR="00A123B9" w:rsidRPr="000F4905" w:rsidRDefault="00A123B9" w:rsidP="000F4905">
      <w:pPr>
        <w:pStyle w:val="af7"/>
        <w:widowControl w:val="0"/>
        <w:spacing w:after="0"/>
        <w:jc w:val="both"/>
        <w:rPr>
          <w:sz w:val="24"/>
          <w:szCs w:val="24"/>
        </w:rPr>
      </w:pPr>
      <w:r w:rsidRPr="000F4905">
        <w:rPr>
          <w:sz w:val="24"/>
          <w:szCs w:val="24"/>
        </w:rPr>
        <w:t>Основною метою Компанії відносно управління капіталом є дотримання вимог законодавства України відносно рівня достатності капіталу й вимог регулюючих органів в області страхування, а також забезпечення фінансової стабільності Компанії і її здатності продовжити здійснення фінансово-господарської діяльності відповідно до принципу безперервності діяльності.</w:t>
      </w:r>
    </w:p>
    <w:p w:rsidR="00A123B9" w:rsidRPr="000F4905" w:rsidRDefault="00A123B9" w:rsidP="000F4905">
      <w:pPr>
        <w:pStyle w:val="af6"/>
        <w:widowControl w:val="0"/>
        <w:spacing w:before="0" w:beforeAutospacing="0" w:after="0" w:afterAutospacing="0"/>
        <w:jc w:val="both"/>
        <w:rPr>
          <w:lang w:val="uk-UA"/>
        </w:rPr>
      </w:pPr>
      <w:r w:rsidRPr="000F4905">
        <w:rPr>
          <w:lang w:val="uk-UA"/>
        </w:rPr>
        <w:t xml:space="preserve">Загальна сума капіталу, управління яким здійснюється, відповідає сумі капіталу, показаному в балансі. На Компанію поширюються зовнішні вимоги до капіталу – це мінімальна сума статутного капіталу, а також ряд нормативів платоспроможності. </w:t>
      </w:r>
    </w:p>
    <w:p w:rsidR="00A123B9" w:rsidRPr="000F4905" w:rsidRDefault="00A123B9" w:rsidP="000F4905">
      <w:pPr>
        <w:pStyle w:val="af7"/>
        <w:widowControl w:val="0"/>
        <w:spacing w:after="0"/>
        <w:jc w:val="both"/>
        <w:rPr>
          <w:sz w:val="24"/>
          <w:szCs w:val="24"/>
        </w:rPr>
      </w:pPr>
      <w:r w:rsidRPr="000F4905">
        <w:rPr>
          <w:sz w:val="24"/>
          <w:szCs w:val="24"/>
        </w:rPr>
        <w:t>Станом на 30вересня2023 року й на 30вересня 2022 року Компанія відповідала вимогам, встановленим регулюючими органами</w:t>
      </w:r>
      <w:r w:rsidR="000F4905" w:rsidRPr="000F4905">
        <w:rPr>
          <w:sz w:val="24"/>
          <w:szCs w:val="24"/>
          <w:lang w:val="ru-RU"/>
        </w:rPr>
        <w:t xml:space="preserve"> </w:t>
      </w:r>
      <w:r w:rsidRPr="000F4905">
        <w:rPr>
          <w:sz w:val="24"/>
          <w:szCs w:val="24"/>
        </w:rPr>
        <w:t>в області страхування відносно маржі платоспроможності, розміщення страхових резервів і інших нормативів.</w:t>
      </w:r>
    </w:p>
    <w:p w:rsidR="00A123B9" w:rsidRPr="000F4905" w:rsidRDefault="00A123B9" w:rsidP="000F4905">
      <w:pPr>
        <w:pStyle w:val="af6"/>
        <w:widowControl w:val="0"/>
        <w:spacing w:before="0" w:beforeAutospacing="0" w:after="0" w:afterAutospacing="0"/>
        <w:jc w:val="both"/>
        <w:rPr>
          <w:b/>
          <w:lang w:val="uk-UA"/>
        </w:rPr>
      </w:pPr>
      <w:r w:rsidRPr="000F4905">
        <w:rPr>
          <w:b/>
          <w:lang w:val="uk-UA"/>
        </w:rPr>
        <w:t>12</w:t>
      </w:r>
      <w:r w:rsidRPr="000F4905">
        <w:rPr>
          <w:lang w:val="uk-UA"/>
        </w:rPr>
        <w:t>.</w:t>
      </w:r>
      <w:r w:rsidRPr="000F4905">
        <w:rPr>
          <w:b/>
          <w:lang w:val="uk-UA"/>
        </w:rPr>
        <w:t>Події після звітної дати</w:t>
      </w:r>
    </w:p>
    <w:p w:rsidR="00A123B9" w:rsidRPr="000F4905" w:rsidRDefault="00A123B9" w:rsidP="000F4905">
      <w:pPr>
        <w:pStyle w:val="af6"/>
        <w:widowControl w:val="0"/>
        <w:spacing w:before="0" w:beforeAutospacing="0" w:after="0" w:afterAutospacing="0"/>
        <w:jc w:val="both"/>
        <w:rPr>
          <w:lang w:val="uk-UA"/>
        </w:rPr>
      </w:pPr>
      <w:r w:rsidRPr="000F4905">
        <w:rPr>
          <w:lang w:val="uk-UA"/>
        </w:rPr>
        <w:t xml:space="preserve">13 жовтня 2023 року було погашено заборгованість на 30.09.2023 року за договорами перестрахування, що укладені із брокером-нерезидентом. </w:t>
      </w:r>
    </w:p>
    <w:p w:rsidR="00A123B9" w:rsidRPr="000F4905" w:rsidRDefault="00A123B9" w:rsidP="000F4905">
      <w:pPr>
        <w:pStyle w:val="af6"/>
        <w:widowControl w:val="0"/>
        <w:spacing w:before="0" w:beforeAutospacing="0" w:after="0" w:afterAutospacing="0"/>
        <w:jc w:val="both"/>
        <w:rPr>
          <w:lang w:val="uk-UA"/>
        </w:rPr>
      </w:pPr>
      <w:bookmarkStart w:id="9" w:name="_GoBack"/>
      <w:bookmarkEnd w:id="9"/>
      <w:r w:rsidRPr="000F4905">
        <w:rPr>
          <w:lang w:val="uk-UA"/>
        </w:rPr>
        <w:t>Цю фінансову звітність за період, що закінчився 30вересня 2023 року,  було затверджено до випуску від імені керівництва Компанії 18жовтня 2023 року.</w:t>
      </w:r>
    </w:p>
    <w:p w:rsidR="00A123B9" w:rsidRPr="000F4905" w:rsidRDefault="00A123B9" w:rsidP="000F4905">
      <w:pPr>
        <w:pStyle w:val="af6"/>
        <w:widowControl w:val="0"/>
        <w:spacing w:before="0" w:beforeAutospacing="0" w:after="0" w:afterAutospacing="0"/>
        <w:ind w:left="709"/>
        <w:rPr>
          <w:lang w:val="uk-UA"/>
        </w:rPr>
      </w:pPr>
    </w:p>
    <w:p w:rsidR="00A123B9" w:rsidRPr="000F4905" w:rsidRDefault="00A123B9" w:rsidP="000F4905">
      <w:pPr>
        <w:pStyle w:val="af6"/>
        <w:widowControl w:val="0"/>
        <w:spacing w:before="0" w:beforeAutospacing="0" w:after="0" w:afterAutospacing="0"/>
        <w:ind w:left="709"/>
        <w:rPr>
          <w:lang w:val="uk-UA"/>
        </w:rPr>
      </w:pPr>
    </w:p>
    <w:p w:rsidR="00A123B9" w:rsidRPr="000F4905" w:rsidRDefault="00A123B9" w:rsidP="000F4905">
      <w:pPr>
        <w:pStyle w:val="af6"/>
        <w:widowControl w:val="0"/>
        <w:spacing w:before="0" w:beforeAutospacing="0" w:after="0" w:afterAutospacing="0"/>
        <w:ind w:left="709"/>
        <w:rPr>
          <w:lang w:val="uk-UA"/>
        </w:rPr>
      </w:pPr>
      <w:r w:rsidRPr="000F4905">
        <w:rPr>
          <w:lang w:val="uk-UA"/>
        </w:rPr>
        <w:t>Голова правління</w:t>
      </w:r>
      <w:r w:rsidRPr="000F4905">
        <w:rPr>
          <w:lang w:val="uk-UA"/>
        </w:rPr>
        <w:tab/>
      </w:r>
      <w:r w:rsidRPr="000F4905">
        <w:rPr>
          <w:lang w:val="uk-UA"/>
        </w:rPr>
        <w:tab/>
      </w:r>
      <w:r w:rsidRPr="000F4905">
        <w:rPr>
          <w:lang w:val="uk-UA"/>
        </w:rPr>
        <w:tab/>
        <w:t>Ірина ГУСЄВА</w:t>
      </w:r>
    </w:p>
    <w:p w:rsidR="00A123B9" w:rsidRPr="000F4905" w:rsidRDefault="00A123B9" w:rsidP="000F4905">
      <w:pPr>
        <w:pStyle w:val="af6"/>
        <w:widowControl w:val="0"/>
        <w:tabs>
          <w:tab w:val="left" w:pos="567"/>
          <w:tab w:val="left" w:pos="709"/>
          <w:tab w:val="left" w:pos="1134"/>
          <w:tab w:val="left" w:pos="5954"/>
          <w:tab w:val="left" w:pos="6237"/>
        </w:tabs>
        <w:spacing w:before="0" w:beforeAutospacing="0" w:after="0" w:afterAutospacing="0"/>
        <w:ind w:left="709"/>
        <w:rPr>
          <w:lang w:val="uk-UA"/>
        </w:rPr>
      </w:pPr>
    </w:p>
    <w:p w:rsidR="00A123B9" w:rsidRPr="000F4905" w:rsidRDefault="00A123B9" w:rsidP="000F4905">
      <w:pPr>
        <w:pStyle w:val="af6"/>
        <w:widowControl w:val="0"/>
        <w:tabs>
          <w:tab w:val="left" w:pos="567"/>
          <w:tab w:val="left" w:pos="709"/>
          <w:tab w:val="left" w:pos="1134"/>
          <w:tab w:val="left" w:pos="5954"/>
          <w:tab w:val="left" w:pos="6237"/>
        </w:tabs>
        <w:spacing w:before="0" w:beforeAutospacing="0" w:after="0" w:afterAutospacing="0"/>
        <w:ind w:left="709"/>
        <w:rPr>
          <w:lang w:val="uk-UA"/>
        </w:rPr>
      </w:pPr>
    </w:p>
    <w:p w:rsidR="00A123B9" w:rsidRPr="000F4905" w:rsidRDefault="00A123B9" w:rsidP="000F4905">
      <w:pPr>
        <w:pStyle w:val="af6"/>
        <w:widowControl w:val="0"/>
        <w:spacing w:before="0" w:beforeAutospacing="0" w:after="0" w:afterAutospacing="0"/>
        <w:ind w:left="709"/>
        <w:rPr>
          <w:lang w:val="uk-UA"/>
        </w:rPr>
      </w:pPr>
      <w:r w:rsidRPr="000F4905">
        <w:rPr>
          <w:lang w:val="uk-UA"/>
        </w:rPr>
        <w:t>Головний бухгалтер</w:t>
      </w:r>
      <w:r w:rsidR="000F4905" w:rsidRPr="007E1CED">
        <w:tab/>
      </w:r>
      <w:r w:rsidR="000F4905" w:rsidRPr="007E1CED">
        <w:tab/>
      </w:r>
      <w:r w:rsidRPr="000F4905">
        <w:rPr>
          <w:lang w:val="uk-UA"/>
        </w:rPr>
        <w:tab/>
        <w:t>Тетяна БОБРОВА</w:t>
      </w:r>
    </w:p>
    <w:p w:rsidR="00A123B9" w:rsidRPr="000F4905" w:rsidRDefault="00A123B9" w:rsidP="000F4905">
      <w:pPr>
        <w:widowControl w:val="0"/>
        <w:autoSpaceDE w:val="0"/>
        <w:autoSpaceDN w:val="0"/>
        <w:adjustRightInd w:val="0"/>
        <w:spacing w:after="0" w:line="240" w:lineRule="auto"/>
        <w:jc w:val="both"/>
        <w:rPr>
          <w:rFonts w:ascii="Times New Roman" w:hAnsi="Times New Roman" w:cs="Times New Roman"/>
          <w:sz w:val="24"/>
          <w:szCs w:val="24"/>
        </w:rPr>
      </w:pP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sectPr w:rsidR="00A123B9" w:rsidRPr="000F4905">
          <w:pgSz w:w="12240" w:h="15840"/>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ХV. Проміжний звіт керівництва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Важливих для Товариства подiй впродовж звiтного перiоду (3 квартал 2023 р.) не вiдбувалося, вiдповiдно, їх вплив на промiжну фiнансову звiтнiсть Товариства вiдсутнiй.</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Товариство у звiтному перiодi не укладало деривативiв, якi впливають на оцiнку активiв, зобов'язань, фiнансового стану i доходiв або витрат Товариства, якi б мали  вплив на промiжну фiнансову звiтнiсть.</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У звiтному перiодi Товариство не здiйснювало будь-яких заходiв, що мали суттєвий вплив на його фiнансове становище. Зокрема, не вiдбувалося: об'єднання бiзнесу, припинення або прийняття рiшення про припинення дiяльностi, iстотного придбання активiв, прийняття судових рiшень Товариства.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Опис основних ризикiв та невизначеностей:</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Вiдповiдно до "Вимог до органiзацiї i функцiонування системи управлiння ризиками у страховика", що затвердженi Розпорядженням Нацiональної комiсiї, що здiйснює державне регулювання у сферi ринкiв фiнансових послуг 04.02.2014р. № 295 в Товариствi запроваджена система управлiння ризиками, що включає стратегiю управлiння ризиками та реалiзацiю управлiння ризиками.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Стратегiя управлiння ризиками Приватного акцiонерного товариства "Страховi гарантiї України" та посадова iнструкцiя працiвника, вiдповiдального за оцiнку ризикiв,  затверджена рiшенням правлiння Товариства вiд 12 червня 2014року (Протокол № 02/14 засiдання правлiння ПРАТ "СГУ").</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Наказом Голови правлiння призначено працiвника, що виконує функцiю оцiнки ризикiв - головного ризик-менеджера.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При здiйсненнi управлiння ризиками ризики систематизованi за класифiкацiєю:</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андеррайтинговi ризики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ринковi ризики;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ризики дефолту контрагента;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операцiйнi ризики.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Для кожного з ризикiв розробленi та запровадженi модулi розрахунку.</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Стратегiя управлiння ризиками мiстить:</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мету управлiння ризиками;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визначення основних принципiв управлiння ризиками;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визначення ризикiв з урахуванням класифiкацiї;</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карту ризикiв;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визначення допустимих меж ризикiв;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опис процедур управлiння ризиками;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опис механiзму виявлення та оцiнки ризикiв;</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опис механiзму забезпечення платоспроможностi;</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опис розмежування функцiй i вiдповiдальностi у процесi управлiння ризиками, визначення осiб,  вiдповiдальних за перегляд ефективностi стратегiї;</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порядок взаємодiї мiж виконавчим органом ПрАТ "СГУ" та призначеним працiвником, що виконує функцiю оцiнки ризикiв, у процесi управлiння ризиками.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ПрАТ "СГУ" забезпечує постiйне пiдвищення квалiфiкацiї головного ризик-менеджера.</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 xml:space="preserve">Створена на ПрАТ "СГУ" Система управлiння ризиками дозволяє здiйснювати постiйний монiторинг визначених ризикiв, пом'якшувати та зменшувати вплив ризикiв на платоспроможнiсть ПрАТ "СГУ", приймати оперативнi рiшення щодо зменшення вразливостi ПрАТ "СГУ" до визначених ризикiв. </w:t>
      </w: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sectPr w:rsidR="00A123B9" w:rsidRPr="000F4905">
          <w:pgSz w:w="12240" w:h="15840"/>
          <w:pgMar w:top="850" w:right="850" w:bottom="850" w:left="1400" w:header="708" w:footer="708" w:gutter="0"/>
          <w:cols w:space="720"/>
          <w:noEndnote/>
        </w:sectPr>
      </w:pPr>
    </w:p>
    <w:p w:rsidR="00A123B9" w:rsidRPr="000F4905" w:rsidRDefault="00A123B9" w:rsidP="000F4905">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0F4905">
        <w:rPr>
          <w:rFonts w:ascii="Times New Roman CYR" w:hAnsi="Times New Roman CYR" w:cs="Times New Roman CYR"/>
          <w:b/>
          <w:bCs/>
          <w:sz w:val="28"/>
          <w:szCs w:val="28"/>
        </w:rPr>
        <w:lastRenderedPageBreak/>
        <w:t>ХVІ. Твердження щодо проміжної інформації</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r w:rsidRPr="000F4905">
        <w:rPr>
          <w:rFonts w:ascii="Times New Roman CYR" w:hAnsi="Times New Roman CYR" w:cs="Times New Roman CYR"/>
          <w:sz w:val="24"/>
          <w:szCs w:val="24"/>
        </w:rPr>
        <w:t>На пiдставi наданих повноважень, посадовi особи Товариства, якi здiйснюють управлiнськi функцiї, надають твердження того, що, наскiльки це їм вiдомо промiжна фiнансова звiтнiсть, пiдготовлена вiдповiдно до стандартiв бухгалтерського облiку, згiдно iз Законом України "Про бухгалтерський облiк та фiнансову звiтнiсть", мiстить достовiрне та об'єктивне подання iнформацiї про стан активiв, пасивiв, фiнансовий стан, прибутки та збитки, промiжний звiт керiвництва включає достовiрне та об'єктивне подання iнформацiї вiдповiдно до частини четвертої статтi 127 Закону України "Про ринки капiталу та органiзованi товарнi ринки".</w:t>
      </w:r>
    </w:p>
    <w:p w:rsidR="00A123B9" w:rsidRPr="000F4905" w:rsidRDefault="00A123B9" w:rsidP="000F4905">
      <w:pPr>
        <w:widowControl w:val="0"/>
        <w:autoSpaceDE w:val="0"/>
        <w:autoSpaceDN w:val="0"/>
        <w:adjustRightInd w:val="0"/>
        <w:spacing w:after="0" w:line="240" w:lineRule="auto"/>
        <w:jc w:val="both"/>
        <w:rPr>
          <w:rFonts w:ascii="Times New Roman CYR" w:hAnsi="Times New Roman CYR" w:cs="Times New Roman CYR"/>
          <w:sz w:val="24"/>
          <w:szCs w:val="24"/>
        </w:rPr>
      </w:pPr>
    </w:p>
    <w:p w:rsidR="00A123B9" w:rsidRPr="000F4905" w:rsidRDefault="00A123B9" w:rsidP="000F4905">
      <w:pPr>
        <w:widowControl w:val="0"/>
        <w:autoSpaceDE w:val="0"/>
        <w:autoSpaceDN w:val="0"/>
        <w:adjustRightInd w:val="0"/>
        <w:spacing w:after="0" w:line="240" w:lineRule="auto"/>
        <w:rPr>
          <w:rFonts w:ascii="Times New Roman CYR" w:hAnsi="Times New Roman CYR" w:cs="Times New Roman CYR"/>
          <w:sz w:val="24"/>
          <w:szCs w:val="24"/>
        </w:rPr>
      </w:pPr>
    </w:p>
    <w:sectPr w:rsidR="00A123B9" w:rsidRPr="000F4905" w:rsidSect="00D57409">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Arial">
    <w:altName w:val=" Helvetica"/>
    <w:panose1 w:val="020B0604020202020204"/>
    <w:charset w:val="CC"/>
    <w:family w:val="swiss"/>
    <w:pitch w:val="variable"/>
    <w:sig w:usb0="E0002EFF" w:usb1="C000785B" w:usb2="00000009" w:usb3="00000000" w:csb0="000001FF"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Ю-?§Ю?§Ф?§Ю??§ЮЎм§Ч"/>
    <w:panose1 w:val="02010600030101010101"/>
    <w:charset w:val="86"/>
    <w:family w:val="auto"/>
    <w:pitch w:val="variable"/>
    <w:sig w:usb0="00000203" w:usb1="288F0000" w:usb2="00000016" w:usb3="00000000" w:csb0="00040001" w:csb1="00000000"/>
  </w:font>
  <w:font w:name="EYInterstate">
    <w:altName w:val="MS Gothic"/>
    <w:panose1 w:val="00000000000000000000"/>
    <w:charset w:val="CC"/>
    <w:family w:val="swiss"/>
    <w:notTrueType/>
    <w:pitch w:val="default"/>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TimesNewRomanPSMT">
    <w:altName w:val="Yu Gothic"/>
    <w:charset w:val="00"/>
    <w:family w:val="roman"/>
    <w:pitch w:val="variable"/>
    <w:sig w:usb0="E0002AE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BE5"/>
    <w:multiLevelType w:val="hybridMultilevel"/>
    <w:tmpl w:val="6F3E3A06"/>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ED07494"/>
    <w:multiLevelType w:val="hybridMultilevel"/>
    <w:tmpl w:val="4078B076"/>
    <w:lvl w:ilvl="0" w:tplc="51C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478C9"/>
    <w:multiLevelType w:val="hybridMultilevel"/>
    <w:tmpl w:val="11729EEA"/>
    <w:lvl w:ilvl="0" w:tplc="8930925E">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5807497"/>
    <w:multiLevelType w:val="hybridMultilevel"/>
    <w:tmpl w:val="398AEAC6"/>
    <w:lvl w:ilvl="0" w:tplc="D952984C">
      <w:start w:val="1"/>
      <w:numFmt w:val="bullet"/>
      <w:lvlText w:val="­"/>
      <w:lvlJc w:val="left"/>
      <w:pPr>
        <w:ind w:left="1429" w:hanging="360"/>
      </w:pPr>
      <w:rPr>
        <w:rFonts w:ascii="Courier New" w:hAnsi="Courier New" w:hint="default"/>
        <w:w w:val="99"/>
      </w:rPr>
    </w:lvl>
    <w:lvl w:ilvl="1" w:tplc="FFFFFFFF">
      <w:start w:val="1"/>
      <w:numFmt w:val="bullet"/>
      <w:lvlText w:val="o"/>
      <w:lvlJc w:val="left"/>
      <w:pPr>
        <w:ind w:left="2149" w:hanging="360"/>
      </w:pPr>
      <w:rPr>
        <w:rFonts w:ascii="Courier New" w:hAnsi="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hint="default"/>
      </w:rPr>
    </w:lvl>
    <w:lvl w:ilvl="8" w:tplc="FFFFFFFF">
      <w:start w:val="1"/>
      <w:numFmt w:val="bullet"/>
      <w:lvlText w:val=""/>
      <w:lvlJc w:val="left"/>
      <w:pPr>
        <w:ind w:left="7189" w:hanging="360"/>
      </w:pPr>
      <w:rPr>
        <w:rFonts w:ascii="Wingdings" w:hAnsi="Wingdings" w:hint="default"/>
      </w:rPr>
    </w:lvl>
  </w:abstractNum>
  <w:abstractNum w:abstractNumId="4">
    <w:nsid w:val="28A61332"/>
    <w:multiLevelType w:val="hybridMultilevel"/>
    <w:tmpl w:val="1626FFDA"/>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2D5D7838"/>
    <w:multiLevelType w:val="hybridMultilevel"/>
    <w:tmpl w:val="8696C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5D43C96"/>
    <w:multiLevelType w:val="hybridMultilevel"/>
    <w:tmpl w:val="F6BA086E"/>
    <w:lvl w:ilvl="0" w:tplc="9ABC86A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9F3CCD"/>
    <w:multiLevelType w:val="multilevel"/>
    <w:tmpl w:val="9572C9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582664"/>
    <w:multiLevelType w:val="hybridMultilevel"/>
    <w:tmpl w:val="E5A6BBF4"/>
    <w:lvl w:ilvl="0" w:tplc="4E92A9AC">
      <w:start w:val="1"/>
      <w:numFmt w:val="russianLower"/>
      <w:lvlText w:val="(%1)"/>
      <w:lvlJc w:val="left"/>
      <w:pPr>
        <w:ind w:left="213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E34F68"/>
    <w:multiLevelType w:val="hybridMultilevel"/>
    <w:tmpl w:val="31C4A168"/>
    <w:lvl w:ilvl="0" w:tplc="9ABC86A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2B6E12"/>
    <w:multiLevelType w:val="hybridMultilevel"/>
    <w:tmpl w:val="F2344094"/>
    <w:lvl w:ilvl="0" w:tplc="2730D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9376EF"/>
    <w:multiLevelType w:val="hybridMultilevel"/>
    <w:tmpl w:val="0D2239C4"/>
    <w:lvl w:ilvl="0" w:tplc="B8B6C46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1"/>
  </w:num>
  <w:num w:numId="4">
    <w:abstractNumId w:val="7"/>
  </w:num>
  <w:num w:numId="5">
    <w:abstractNumId w:val="2"/>
  </w:num>
  <w:num w:numId="6">
    <w:abstractNumId w:val="4"/>
  </w:num>
  <w:num w:numId="7">
    <w:abstractNumId w:val="0"/>
  </w:num>
  <w:num w:numId="8">
    <w:abstractNumId w:val="10"/>
  </w:num>
  <w:num w:numId="9">
    <w:abstractNumId w:val="1"/>
  </w:num>
  <w:num w:numId="10">
    <w:abstractNumId w:val="9"/>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0C4B08"/>
    <w:rsid w:val="000C4B08"/>
    <w:rsid w:val="000F4905"/>
    <w:rsid w:val="0013588C"/>
    <w:rsid w:val="00670636"/>
    <w:rsid w:val="007E1CED"/>
    <w:rsid w:val="009301C5"/>
    <w:rsid w:val="00A123B9"/>
    <w:rsid w:val="00A36A1A"/>
    <w:rsid w:val="00CB4CA5"/>
    <w:rsid w:val="00D57409"/>
    <w:rsid w:val="00D6324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D57409"/>
  </w:style>
  <w:style w:type="paragraph" w:styleId="1">
    <w:name w:val="heading 1"/>
    <w:basedOn w:val="a"/>
    <w:next w:val="a"/>
    <w:link w:val="10"/>
    <w:qFormat/>
    <w:rsid w:val="00A123B9"/>
    <w:pPr>
      <w:pBdr>
        <w:bottom w:val="thinThickSmallGap" w:sz="12" w:space="1" w:color="858585"/>
      </w:pBdr>
      <w:spacing w:before="400" w:after="0" w:line="240" w:lineRule="auto"/>
      <w:jc w:val="center"/>
      <w:outlineLvl w:val="0"/>
    </w:pPr>
    <w:rPr>
      <w:rFonts w:ascii="Cambria" w:eastAsia="Times New Roman" w:hAnsi="Cambria" w:cs="Times New Roman"/>
      <w:caps/>
      <w:color w:val="595959"/>
      <w:spacing w:val="20"/>
      <w:sz w:val="28"/>
      <w:szCs w:val="28"/>
      <w:lang w:eastAsia="ru-RU"/>
    </w:rPr>
  </w:style>
  <w:style w:type="paragraph" w:styleId="2">
    <w:name w:val="heading 2"/>
    <w:basedOn w:val="a"/>
    <w:next w:val="a"/>
    <w:link w:val="20"/>
    <w:qFormat/>
    <w:rsid w:val="00A123B9"/>
    <w:pPr>
      <w:pBdr>
        <w:bottom w:val="single" w:sz="4" w:space="1" w:color="585858"/>
      </w:pBdr>
      <w:spacing w:before="400" w:after="0" w:line="240" w:lineRule="auto"/>
      <w:jc w:val="center"/>
      <w:outlineLvl w:val="1"/>
    </w:pPr>
    <w:rPr>
      <w:rFonts w:ascii="Cambria" w:eastAsia="Times New Roman" w:hAnsi="Cambria" w:cs="Times New Roman"/>
      <w:caps/>
      <w:color w:val="595959"/>
      <w:spacing w:val="15"/>
      <w:sz w:val="24"/>
      <w:szCs w:val="24"/>
      <w:lang w:eastAsia="ru-RU"/>
    </w:rPr>
  </w:style>
  <w:style w:type="paragraph" w:styleId="3">
    <w:name w:val="heading 3"/>
    <w:basedOn w:val="a"/>
    <w:next w:val="a"/>
    <w:link w:val="30"/>
    <w:qFormat/>
    <w:rsid w:val="00A123B9"/>
    <w:pPr>
      <w:pBdr>
        <w:top w:val="dotted" w:sz="4" w:space="1" w:color="585858"/>
        <w:bottom w:val="dotted" w:sz="4" w:space="1" w:color="585858"/>
      </w:pBdr>
      <w:spacing w:before="300" w:after="0" w:line="240" w:lineRule="auto"/>
      <w:jc w:val="center"/>
      <w:outlineLvl w:val="2"/>
    </w:pPr>
    <w:rPr>
      <w:rFonts w:ascii="Cambria" w:eastAsia="Times New Roman" w:hAnsi="Cambria" w:cs="Times New Roman"/>
      <w:caps/>
      <w:color w:val="585858"/>
      <w:sz w:val="24"/>
      <w:szCs w:val="24"/>
      <w:lang w:eastAsia="ru-RU"/>
    </w:rPr>
  </w:style>
  <w:style w:type="paragraph" w:styleId="4">
    <w:name w:val="heading 4"/>
    <w:basedOn w:val="a"/>
    <w:next w:val="a"/>
    <w:link w:val="40"/>
    <w:qFormat/>
    <w:rsid w:val="00A123B9"/>
    <w:pPr>
      <w:pBdr>
        <w:bottom w:val="dotted" w:sz="4" w:space="1" w:color="858585"/>
      </w:pBdr>
      <w:spacing w:after="120" w:line="240" w:lineRule="auto"/>
      <w:jc w:val="center"/>
      <w:outlineLvl w:val="3"/>
    </w:pPr>
    <w:rPr>
      <w:rFonts w:ascii="Cambria" w:eastAsia="Times New Roman" w:hAnsi="Cambria" w:cs="Times New Roman"/>
      <w:caps/>
      <w:color w:val="585858"/>
      <w:spacing w:val="10"/>
      <w:sz w:val="20"/>
      <w:szCs w:val="20"/>
      <w:lang w:eastAsia="ru-RU"/>
    </w:rPr>
  </w:style>
  <w:style w:type="paragraph" w:styleId="5">
    <w:name w:val="heading 5"/>
    <w:basedOn w:val="a"/>
    <w:next w:val="a"/>
    <w:link w:val="50"/>
    <w:qFormat/>
    <w:rsid w:val="00A123B9"/>
    <w:pPr>
      <w:spacing w:before="320" w:after="120" w:line="240" w:lineRule="auto"/>
      <w:jc w:val="center"/>
      <w:outlineLvl w:val="4"/>
    </w:pPr>
    <w:rPr>
      <w:rFonts w:ascii="Cambria" w:eastAsia="Times New Roman" w:hAnsi="Cambria" w:cs="Times New Roman"/>
      <w:caps/>
      <w:color w:val="585858"/>
      <w:spacing w:val="10"/>
      <w:sz w:val="20"/>
      <w:szCs w:val="20"/>
      <w:lang w:eastAsia="ru-RU"/>
    </w:rPr>
  </w:style>
  <w:style w:type="paragraph" w:styleId="6">
    <w:name w:val="heading 6"/>
    <w:basedOn w:val="a"/>
    <w:next w:val="a"/>
    <w:link w:val="60"/>
    <w:qFormat/>
    <w:rsid w:val="00A123B9"/>
    <w:pPr>
      <w:spacing w:after="120" w:line="240" w:lineRule="auto"/>
      <w:jc w:val="center"/>
      <w:outlineLvl w:val="5"/>
    </w:pPr>
    <w:rPr>
      <w:rFonts w:ascii="Cambria" w:eastAsia="Times New Roman" w:hAnsi="Cambria" w:cs="Times New Roman"/>
      <w:caps/>
      <w:color w:val="858585"/>
      <w:spacing w:val="10"/>
      <w:sz w:val="20"/>
      <w:szCs w:val="20"/>
      <w:lang w:eastAsia="ru-RU"/>
    </w:rPr>
  </w:style>
  <w:style w:type="paragraph" w:styleId="7">
    <w:name w:val="heading 7"/>
    <w:basedOn w:val="a"/>
    <w:next w:val="a"/>
    <w:link w:val="70"/>
    <w:qFormat/>
    <w:rsid w:val="00A123B9"/>
    <w:pPr>
      <w:spacing w:after="120" w:line="240" w:lineRule="auto"/>
      <w:jc w:val="center"/>
      <w:outlineLvl w:val="6"/>
    </w:pPr>
    <w:rPr>
      <w:rFonts w:ascii="Cambria" w:eastAsia="Times New Roman" w:hAnsi="Cambria" w:cs="Times New Roman"/>
      <w:i/>
      <w:iCs/>
      <w:caps/>
      <w:color w:val="858585"/>
      <w:spacing w:val="10"/>
      <w:sz w:val="20"/>
      <w:szCs w:val="20"/>
      <w:lang w:eastAsia="ru-RU"/>
    </w:rPr>
  </w:style>
  <w:style w:type="paragraph" w:styleId="8">
    <w:name w:val="heading 8"/>
    <w:basedOn w:val="a"/>
    <w:next w:val="a"/>
    <w:link w:val="80"/>
    <w:qFormat/>
    <w:rsid w:val="00A123B9"/>
    <w:pPr>
      <w:spacing w:after="120" w:line="240" w:lineRule="auto"/>
      <w:jc w:val="center"/>
      <w:outlineLvl w:val="7"/>
    </w:pPr>
    <w:rPr>
      <w:rFonts w:ascii="Cambria" w:eastAsia="Times New Roman" w:hAnsi="Cambria" w:cs="Times New Roman"/>
      <w:caps/>
      <w:spacing w:val="10"/>
      <w:sz w:val="20"/>
      <w:szCs w:val="20"/>
      <w:lang w:eastAsia="ru-RU"/>
    </w:rPr>
  </w:style>
  <w:style w:type="paragraph" w:styleId="9">
    <w:name w:val="heading 9"/>
    <w:basedOn w:val="a"/>
    <w:next w:val="a"/>
    <w:link w:val="90"/>
    <w:qFormat/>
    <w:rsid w:val="00A123B9"/>
    <w:pPr>
      <w:spacing w:after="120" w:line="240" w:lineRule="auto"/>
      <w:jc w:val="center"/>
      <w:outlineLvl w:val="8"/>
    </w:pPr>
    <w:rPr>
      <w:rFonts w:ascii="Cambria" w:eastAsia="Times New Roman" w:hAnsi="Cambria" w:cs="Times New Roman"/>
      <w:i/>
      <w:iCs/>
      <w:caps/>
      <w:spacing w:val="1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23B9"/>
    <w:rPr>
      <w:rFonts w:ascii="Cambria" w:eastAsia="Times New Roman" w:hAnsi="Cambria" w:cs="Times New Roman"/>
      <w:caps/>
      <w:color w:val="595959"/>
      <w:spacing w:val="20"/>
      <w:sz w:val="28"/>
      <w:szCs w:val="28"/>
      <w:lang w:eastAsia="ru-RU"/>
    </w:rPr>
  </w:style>
  <w:style w:type="character" w:customStyle="1" w:styleId="20">
    <w:name w:val="Заголовок 2 Знак"/>
    <w:basedOn w:val="a0"/>
    <w:link w:val="2"/>
    <w:rsid w:val="00A123B9"/>
    <w:rPr>
      <w:rFonts w:ascii="Cambria" w:eastAsia="Times New Roman" w:hAnsi="Cambria" w:cs="Times New Roman"/>
      <w:caps/>
      <w:color w:val="595959"/>
      <w:spacing w:val="15"/>
      <w:sz w:val="24"/>
      <w:szCs w:val="24"/>
      <w:lang w:eastAsia="ru-RU"/>
    </w:rPr>
  </w:style>
  <w:style w:type="character" w:customStyle="1" w:styleId="30">
    <w:name w:val="Заголовок 3 Знак"/>
    <w:basedOn w:val="a0"/>
    <w:link w:val="3"/>
    <w:rsid w:val="00A123B9"/>
    <w:rPr>
      <w:rFonts w:ascii="Cambria" w:eastAsia="Times New Roman" w:hAnsi="Cambria" w:cs="Times New Roman"/>
      <w:caps/>
      <w:color w:val="585858"/>
      <w:sz w:val="24"/>
      <w:szCs w:val="24"/>
      <w:lang w:eastAsia="ru-RU"/>
    </w:rPr>
  </w:style>
  <w:style w:type="character" w:customStyle="1" w:styleId="40">
    <w:name w:val="Заголовок 4 Знак"/>
    <w:basedOn w:val="a0"/>
    <w:link w:val="4"/>
    <w:rsid w:val="00A123B9"/>
    <w:rPr>
      <w:rFonts w:ascii="Cambria" w:eastAsia="Times New Roman" w:hAnsi="Cambria" w:cs="Times New Roman"/>
      <w:caps/>
      <w:color w:val="585858"/>
      <w:spacing w:val="10"/>
      <w:sz w:val="20"/>
      <w:szCs w:val="20"/>
      <w:lang w:eastAsia="ru-RU"/>
    </w:rPr>
  </w:style>
  <w:style w:type="character" w:customStyle="1" w:styleId="50">
    <w:name w:val="Заголовок 5 Знак"/>
    <w:basedOn w:val="a0"/>
    <w:link w:val="5"/>
    <w:rsid w:val="00A123B9"/>
    <w:rPr>
      <w:rFonts w:ascii="Cambria" w:eastAsia="Times New Roman" w:hAnsi="Cambria" w:cs="Times New Roman"/>
      <w:caps/>
      <w:color w:val="585858"/>
      <w:spacing w:val="10"/>
      <w:sz w:val="20"/>
      <w:szCs w:val="20"/>
      <w:lang w:eastAsia="ru-RU"/>
    </w:rPr>
  </w:style>
  <w:style w:type="character" w:customStyle="1" w:styleId="60">
    <w:name w:val="Заголовок 6 Знак"/>
    <w:basedOn w:val="a0"/>
    <w:link w:val="6"/>
    <w:rsid w:val="00A123B9"/>
    <w:rPr>
      <w:rFonts w:ascii="Cambria" w:eastAsia="Times New Roman" w:hAnsi="Cambria" w:cs="Times New Roman"/>
      <w:caps/>
      <w:color w:val="858585"/>
      <w:spacing w:val="10"/>
      <w:sz w:val="20"/>
      <w:szCs w:val="20"/>
      <w:lang w:eastAsia="ru-RU"/>
    </w:rPr>
  </w:style>
  <w:style w:type="character" w:customStyle="1" w:styleId="70">
    <w:name w:val="Заголовок 7 Знак"/>
    <w:basedOn w:val="a0"/>
    <w:link w:val="7"/>
    <w:rsid w:val="00A123B9"/>
    <w:rPr>
      <w:rFonts w:ascii="Cambria" w:eastAsia="Times New Roman" w:hAnsi="Cambria" w:cs="Times New Roman"/>
      <w:i/>
      <w:iCs/>
      <w:caps/>
      <w:color w:val="858585"/>
      <w:spacing w:val="10"/>
      <w:sz w:val="20"/>
      <w:szCs w:val="20"/>
      <w:lang w:eastAsia="ru-RU"/>
    </w:rPr>
  </w:style>
  <w:style w:type="character" w:customStyle="1" w:styleId="80">
    <w:name w:val="Заголовок 8 Знак"/>
    <w:basedOn w:val="a0"/>
    <w:link w:val="8"/>
    <w:rsid w:val="00A123B9"/>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rsid w:val="00A123B9"/>
    <w:rPr>
      <w:rFonts w:ascii="Cambria" w:eastAsia="Times New Roman" w:hAnsi="Cambria" w:cs="Times New Roman"/>
      <w:i/>
      <w:iCs/>
      <w:caps/>
      <w:spacing w:val="10"/>
      <w:sz w:val="20"/>
      <w:szCs w:val="20"/>
      <w:lang w:eastAsia="ru-RU"/>
    </w:rPr>
  </w:style>
  <w:style w:type="paragraph" w:styleId="a3">
    <w:name w:val="caption"/>
    <w:basedOn w:val="a"/>
    <w:next w:val="a"/>
    <w:qFormat/>
    <w:rsid w:val="00A123B9"/>
    <w:pPr>
      <w:spacing w:after="0" w:line="240" w:lineRule="auto"/>
    </w:pPr>
    <w:rPr>
      <w:rFonts w:ascii="Times New Roman" w:eastAsia="Times New Roman" w:hAnsi="Times New Roman" w:cs="Times New Roman"/>
      <w:caps/>
      <w:spacing w:val="10"/>
      <w:sz w:val="18"/>
      <w:szCs w:val="18"/>
    </w:rPr>
  </w:style>
  <w:style w:type="paragraph" w:styleId="a4">
    <w:name w:val="Title"/>
    <w:basedOn w:val="a"/>
    <w:next w:val="a"/>
    <w:link w:val="a5"/>
    <w:qFormat/>
    <w:rsid w:val="00A123B9"/>
    <w:pPr>
      <w:pBdr>
        <w:top w:val="dotted" w:sz="2" w:space="1" w:color="595959"/>
        <w:bottom w:val="dotted" w:sz="2" w:space="6" w:color="595959"/>
      </w:pBdr>
      <w:spacing w:before="500" w:after="300" w:line="240" w:lineRule="auto"/>
      <w:jc w:val="center"/>
    </w:pPr>
    <w:rPr>
      <w:rFonts w:ascii="Cambria" w:eastAsia="Times New Roman" w:hAnsi="Cambria" w:cs="Times New Roman"/>
      <w:caps/>
      <w:color w:val="595959"/>
      <w:spacing w:val="50"/>
      <w:sz w:val="44"/>
      <w:szCs w:val="44"/>
      <w:lang w:eastAsia="ru-RU"/>
    </w:rPr>
  </w:style>
  <w:style w:type="character" w:customStyle="1" w:styleId="a5">
    <w:name w:val="Название Знак"/>
    <w:basedOn w:val="a0"/>
    <w:link w:val="a4"/>
    <w:rsid w:val="00A123B9"/>
    <w:rPr>
      <w:rFonts w:ascii="Cambria" w:eastAsia="Times New Roman" w:hAnsi="Cambria" w:cs="Times New Roman"/>
      <w:caps/>
      <w:color w:val="595959"/>
      <w:spacing w:val="50"/>
      <w:sz w:val="44"/>
      <w:szCs w:val="44"/>
      <w:lang w:eastAsia="ru-RU"/>
    </w:rPr>
  </w:style>
  <w:style w:type="paragraph" w:styleId="a6">
    <w:name w:val="Subtitle"/>
    <w:basedOn w:val="a"/>
    <w:next w:val="a"/>
    <w:link w:val="a7"/>
    <w:qFormat/>
    <w:rsid w:val="00A123B9"/>
    <w:pPr>
      <w:spacing w:after="560" w:line="240" w:lineRule="auto"/>
      <w:jc w:val="center"/>
    </w:pPr>
    <w:rPr>
      <w:rFonts w:ascii="Cambria" w:eastAsia="Times New Roman" w:hAnsi="Cambria" w:cs="Times New Roman"/>
      <w:caps/>
      <w:spacing w:val="20"/>
      <w:sz w:val="18"/>
      <w:szCs w:val="18"/>
      <w:lang w:eastAsia="ru-RU"/>
    </w:rPr>
  </w:style>
  <w:style w:type="character" w:customStyle="1" w:styleId="a7">
    <w:name w:val="Подзаголовок Знак"/>
    <w:basedOn w:val="a0"/>
    <w:link w:val="a6"/>
    <w:rsid w:val="00A123B9"/>
    <w:rPr>
      <w:rFonts w:ascii="Cambria" w:eastAsia="Times New Roman" w:hAnsi="Cambria" w:cs="Times New Roman"/>
      <w:caps/>
      <w:spacing w:val="20"/>
      <w:sz w:val="18"/>
      <w:szCs w:val="18"/>
      <w:lang w:eastAsia="ru-RU"/>
    </w:rPr>
  </w:style>
  <w:style w:type="character" w:styleId="a8">
    <w:name w:val="Strong"/>
    <w:uiPriority w:val="22"/>
    <w:qFormat/>
    <w:rsid w:val="00A123B9"/>
    <w:rPr>
      <w:b/>
      <w:bCs/>
      <w:color w:val="858585"/>
      <w:spacing w:val="5"/>
    </w:rPr>
  </w:style>
  <w:style w:type="character" w:styleId="a9">
    <w:name w:val="Emphasis"/>
    <w:qFormat/>
    <w:rsid w:val="00A123B9"/>
    <w:rPr>
      <w:caps/>
      <w:spacing w:val="5"/>
      <w:sz w:val="20"/>
      <w:szCs w:val="20"/>
    </w:rPr>
  </w:style>
  <w:style w:type="paragraph" w:styleId="aa">
    <w:name w:val="No Spacing"/>
    <w:basedOn w:val="a"/>
    <w:link w:val="ab"/>
    <w:qFormat/>
    <w:rsid w:val="00A123B9"/>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rsid w:val="00A123B9"/>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A123B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d">
    <w:name w:val="Абзац списка Знак"/>
    <w:link w:val="ac"/>
    <w:uiPriority w:val="34"/>
    <w:rsid w:val="00A123B9"/>
    <w:rPr>
      <w:rFonts w:ascii="Times New Roman" w:eastAsia="Times New Roman" w:hAnsi="Times New Roman" w:cs="Times New Roman"/>
      <w:sz w:val="24"/>
      <w:szCs w:val="24"/>
      <w:lang w:eastAsia="ru-RU"/>
    </w:rPr>
  </w:style>
  <w:style w:type="paragraph" w:styleId="21">
    <w:name w:val="Quote"/>
    <w:basedOn w:val="a"/>
    <w:next w:val="a"/>
    <w:link w:val="22"/>
    <w:qFormat/>
    <w:rsid w:val="00A123B9"/>
    <w:pPr>
      <w:spacing w:after="0" w:line="240" w:lineRule="auto"/>
    </w:pPr>
    <w:rPr>
      <w:rFonts w:ascii="Cambria" w:eastAsia="Times New Roman" w:hAnsi="Cambria" w:cs="Times New Roman"/>
      <w:i/>
      <w:iCs/>
      <w:sz w:val="20"/>
      <w:szCs w:val="20"/>
      <w:lang w:eastAsia="ru-RU"/>
    </w:rPr>
  </w:style>
  <w:style w:type="character" w:customStyle="1" w:styleId="22">
    <w:name w:val="Цитата 2 Знак"/>
    <w:basedOn w:val="a0"/>
    <w:link w:val="21"/>
    <w:rsid w:val="00A123B9"/>
    <w:rPr>
      <w:rFonts w:ascii="Cambria" w:eastAsia="Times New Roman" w:hAnsi="Cambria" w:cs="Times New Roman"/>
      <w:i/>
      <w:iCs/>
      <w:sz w:val="20"/>
      <w:szCs w:val="20"/>
      <w:lang w:eastAsia="ru-RU"/>
    </w:rPr>
  </w:style>
  <w:style w:type="paragraph" w:styleId="ae">
    <w:name w:val="Intense Quote"/>
    <w:basedOn w:val="a"/>
    <w:next w:val="a"/>
    <w:link w:val="af"/>
    <w:qFormat/>
    <w:rsid w:val="00A123B9"/>
    <w:pPr>
      <w:pBdr>
        <w:top w:val="dotted" w:sz="2" w:space="10" w:color="595959"/>
        <w:bottom w:val="dotted" w:sz="2" w:space="4" w:color="595959"/>
      </w:pBdr>
      <w:spacing w:before="160" w:after="0" w:line="300" w:lineRule="auto"/>
      <w:ind w:left="1440" w:right="1440"/>
    </w:pPr>
    <w:rPr>
      <w:rFonts w:ascii="Cambria" w:eastAsia="Times New Roman" w:hAnsi="Cambria" w:cs="Times New Roman"/>
      <w:caps/>
      <w:color w:val="585858"/>
      <w:spacing w:val="5"/>
      <w:sz w:val="20"/>
      <w:szCs w:val="20"/>
      <w:lang w:eastAsia="ru-RU"/>
    </w:rPr>
  </w:style>
  <w:style w:type="character" w:customStyle="1" w:styleId="af">
    <w:name w:val="Выделенная цитата Знак"/>
    <w:basedOn w:val="a0"/>
    <w:link w:val="ae"/>
    <w:rsid w:val="00A123B9"/>
    <w:rPr>
      <w:rFonts w:ascii="Cambria" w:eastAsia="Times New Roman" w:hAnsi="Cambria" w:cs="Times New Roman"/>
      <w:caps/>
      <w:color w:val="585858"/>
      <w:spacing w:val="5"/>
      <w:sz w:val="20"/>
      <w:szCs w:val="20"/>
      <w:lang w:eastAsia="ru-RU"/>
    </w:rPr>
  </w:style>
  <w:style w:type="character" w:styleId="af0">
    <w:name w:val="Subtle Emphasis"/>
    <w:qFormat/>
    <w:rsid w:val="00A123B9"/>
    <w:rPr>
      <w:i/>
      <w:iCs/>
    </w:rPr>
  </w:style>
  <w:style w:type="character" w:styleId="af1">
    <w:name w:val="Intense Emphasis"/>
    <w:qFormat/>
    <w:rsid w:val="00A123B9"/>
    <w:rPr>
      <w:i/>
      <w:iCs/>
      <w:caps/>
      <w:spacing w:val="10"/>
      <w:sz w:val="20"/>
      <w:szCs w:val="20"/>
    </w:rPr>
  </w:style>
  <w:style w:type="character" w:styleId="af2">
    <w:name w:val="Subtle Reference"/>
    <w:qFormat/>
    <w:rsid w:val="00A123B9"/>
    <w:rPr>
      <w:rFonts w:ascii="Calibri" w:eastAsia="Times New Roman" w:hAnsi="Calibri" w:cs="Times New Roman"/>
      <w:i/>
      <w:iCs/>
      <w:color w:val="585858"/>
    </w:rPr>
  </w:style>
  <w:style w:type="character" w:styleId="af3">
    <w:name w:val="Intense Reference"/>
    <w:qFormat/>
    <w:rsid w:val="00A123B9"/>
    <w:rPr>
      <w:rFonts w:ascii="Calibri" w:eastAsia="Times New Roman" w:hAnsi="Calibri" w:cs="Times New Roman"/>
      <w:b/>
      <w:bCs/>
      <w:i/>
      <w:iCs/>
      <w:color w:val="585858"/>
    </w:rPr>
  </w:style>
  <w:style w:type="character" w:styleId="af4">
    <w:name w:val="Book Title"/>
    <w:qFormat/>
    <w:rsid w:val="00A123B9"/>
    <w:rPr>
      <w:caps/>
      <w:color w:val="585858"/>
      <w:spacing w:val="5"/>
      <w:u w:color="585858"/>
    </w:rPr>
  </w:style>
  <w:style w:type="paragraph" w:styleId="af5">
    <w:name w:val="TOC Heading"/>
    <w:basedOn w:val="1"/>
    <w:next w:val="a"/>
    <w:qFormat/>
    <w:rsid w:val="00A123B9"/>
    <w:pPr>
      <w:outlineLvl w:val="9"/>
    </w:pPr>
    <w:rPr>
      <w:rFonts w:ascii="Times New Roman" w:eastAsia="Calibri" w:hAnsi="Times New Roman"/>
      <w:lang w:eastAsia="en-US" w:bidi="en-US"/>
    </w:rPr>
  </w:style>
  <w:style w:type="paragraph" w:styleId="af6">
    <w:name w:val="Normal (Web)"/>
    <w:basedOn w:val="a"/>
    <w:uiPriority w:val="99"/>
    <w:rsid w:val="00A123B9"/>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7">
    <w:name w:val="Body Text"/>
    <w:basedOn w:val="a"/>
    <w:link w:val="af8"/>
    <w:rsid w:val="00A123B9"/>
    <w:pPr>
      <w:spacing w:after="120" w:line="240" w:lineRule="auto"/>
    </w:pPr>
    <w:rPr>
      <w:rFonts w:ascii="Times New Roman" w:eastAsia="Times New Roman" w:hAnsi="Times New Roman" w:cs="Times New Roman"/>
      <w:sz w:val="20"/>
      <w:szCs w:val="20"/>
      <w:lang w:eastAsia="ru-RU"/>
    </w:rPr>
  </w:style>
  <w:style w:type="character" w:customStyle="1" w:styleId="af8">
    <w:name w:val="Основной текст Знак"/>
    <w:basedOn w:val="a0"/>
    <w:link w:val="af7"/>
    <w:rsid w:val="00A123B9"/>
    <w:rPr>
      <w:rFonts w:ascii="Times New Roman" w:eastAsia="Times New Roman" w:hAnsi="Times New Roman" w:cs="Times New Roman"/>
      <w:sz w:val="20"/>
      <w:szCs w:val="20"/>
      <w:lang w:eastAsia="ru-RU"/>
    </w:rPr>
  </w:style>
  <w:style w:type="paragraph" w:styleId="31">
    <w:name w:val="Body Text 3"/>
    <w:basedOn w:val="a"/>
    <w:link w:val="32"/>
    <w:rsid w:val="00A123B9"/>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A123B9"/>
    <w:rPr>
      <w:rFonts w:ascii="Times New Roman" w:eastAsia="Times New Roman" w:hAnsi="Times New Roman" w:cs="Times New Roman"/>
      <w:sz w:val="16"/>
      <w:szCs w:val="16"/>
      <w:lang w:eastAsia="ru-RU"/>
    </w:rPr>
  </w:style>
  <w:style w:type="character" w:customStyle="1" w:styleId="af9">
    <w:name w:val="Текст Знак"/>
    <w:basedOn w:val="a0"/>
    <w:link w:val="afa"/>
    <w:semiHidden/>
    <w:rsid w:val="00A123B9"/>
    <w:rPr>
      <w:rFonts w:ascii="Courier New" w:eastAsia="Times New Roman" w:hAnsi="Courier New" w:cs="Times New Roman"/>
      <w:sz w:val="20"/>
      <w:szCs w:val="20"/>
      <w:lang w:eastAsia="ru-RU"/>
    </w:rPr>
  </w:style>
  <w:style w:type="paragraph" w:styleId="afa">
    <w:name w:val="Plain Text"/>
    <w:basedOn w:val="a"/>
    <w:link w:val="af9"/>
    <w:semiHidden/>
    <w:rsid w:val="00A123B9"/>
    <w:pPr>
      <w:spacing w:after="0" w:line="240" w:lineRule="auto"/>
    </w:pPr>
    <w:rPr>
      <w:rFonts w:ascii="Courier New" w:eastAsia="Times New Roman" w:hAnsi="Courier New" w:cs="Times New Roman"/>
      <w:sz w:val="20"/>
      <w:szCs w:val="20"/>
      <w:lang w:eastAsia="ru-RU"/>
    </w:rPr>
  </w:style>
  <w:style w:type="paragraph" w:customStyle="1" w:styleId="Tahoma">
    <w:name w:val="Tahoma"/>
    <w:basedOn w:val="23"/>
    <w:rsid w:val="00A123B9"/>
    <w:pPr>
      <w:widowControl w:val="0"/>
      <w:autoSpaceDE w:val="0"/>
      <w:autoSpaceDN w:val="0"/>
      <w:adjustRightInd w:val="0"/>
      <w:spacing w:line="260" w:lineRule="exact"/>
      <w:jc w:val="both"/>
    </w:pPr>
    <w:rPr>
      <w:rFonts w:ascii="Verdana" w:hAnsi="Verdana" w:cs="Tahoma"/>
      <w:sz w:val="18"/>
      <w:szCs w:val="18"/>
      <w:lang w:val="en-US" w:eastAsia="en-US"/>
    </w:rPr>
  </w:style>
  <w:style w:type="paragraph" w:styleId="23">
    <w:name w:val="Body Text 2"/>
    <w:basedOn w:val="a"/>
    <w:link w:val="24"/>
    <w:semiHidden/>
    <w:unhideWhenUsed/>
    <w:rsid w:val="00A123B9"/>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semiHidden/>
    <w:rsid w:val="00A123B9"/>
    <w:rPr>
      <w:rFonts w:ascii="Times New Roman" w:eastAsia="Times New Roman" w:hAnsi="Times New Roman" w:cs="Times New Roman"/>
      <w:sz w:val="24"/>
      <w:szCs w:val="24"/>
      <w:lang w:eastAsia="ru-RU"/>
    </w:rPr>
  </w:style>
  <w:style w:type="paragraph" w:customStyle="1" w:styleId="afb">
    <w:name w:val="Знак"/>
    <w:basedOn w:val="a"/>
    <w:autoRedefine/>
    <w:rsid w:val="00A123B9"/>
    <w:pPr>
      <w:spacing w:after="160" w:line="240" w:lineRule="exact"/>
    </w:pPr>
    <w:rPr>
      <w:rFonts w:ascii="Times New Roman" w:eastAsia="SimSun" w:hAnsi="Times New Roman" w:cs="Times New Roman"/>
      <w:b/>
      <w:bCs/>
      <w:sz w:val="28"/>
      <w:szCs w:val="28"/>
      <w:lang w:val="en-US" w:eastAsia="en-US"/>
    </w:rPr>
  </w:style>
  <w:style w:type="character" w:styleId="afc">
    <w:name w:val="Hyperlink"/>
    <w:uiPriority w:val="99"/>
    <w:rsid w:val="00A123B9"/>
    <w:rPr>
      <w:color w:val="0000FF"/>
      <w:u w:val="single"/>
    </w:rPr>
  </w:style>
  <w:style w:type="character" w:customStyle="1" w:styleId="grame">
    <w:name w:val="grame"/>
    <w:basedOn w:val="a0"/>
    <w:rsid w:val="00A123B9"/>
  </w:style>
  <w:style w:type="paragraph" w:styleId="HTML">
    <w:name w:val="HTML Preformatted"/>
    <w:basedOn w:val="a"/>
    <w:link w:val="HTML0"/>
    <w:rsid w:val="00A12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A123B9"/>
    <w:rPr>
      <w:rFonts w:ascii="Courier New" w:eastAsia="Times New Roman" w:hAnsi="Courier New" w:cs="Courier New"/>
      <w:sz w:val="20"/>
      <w:szCs w:val="20"/>
      <w:lang w:val="ru-RU" w:eastAsia="ru-RU"/>
    </w:rPr>
  </w:style>
  <w:style w:type="paragraph" w:styleId="afd">
    <w:name w:val="header"/>
    <w:basedOn w:val="a"/>
    <w:link w:val="afe"/>
    <w:rsid w:val="00A123B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e">
    <w:name w:val="Верхний колонтитул Знак"/>
    <w:basedOn w:val="a0"/>
    <w:link w:val="afd"/>
    <w:rsid w:val="00A123B9"/>
    <w:rPr>
      <w:rFonts w:ascii="Times New Roman" w:eastAsia="Times New Roman" w:hAnsi="Times New Roman" w:cs="Times New Roman"/>
      <w:sz w:val="24"/>
      <w:szCs w:val="24"/>
    </w:rPr>
  </w:style>
  <w:style w:type="paragraph" w:styleId="aff">
    <w:name w:val="footer"/>
    <w:basedOn w:val="a"/>
    <w:link w:val="aff0"/>
    <w:uiPriority w:val="99"/>
    <w:rsid w:val="00A123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uiPriority w:val="99"/>
    <w:rsid w:val="00A123B9"/>
    <w:rPr>
      <w:rFonts w:ascii="Times New Roman" w:eastAsia="Times New Roman" w:hAnsi="Times New Roman" w:cs="Times New Roman"/>
      <w:sz w:val="24"/>
      <w:szCs w:val="24"/>
      <w:lang w:eastAsia="ru-RU"/>
    </w:rPr>
  </w:style>
  <w:style w:type="character" w:styleId="aff1">
    <w:name w:val="page number"/>
    <w:basedOn w:val="a0"/>
    <w:rsid w:val="00A123B9"/>
  </w:style>
  <w:style w:type="paragraph" w:styleId="aff2">
    <w:name w:val="Balloon Text"/>
    <w:basedOn w:val="a"/>
    <w:link w:val="aff3"/>
    <w:rsid w:val="00A123B9"/>
    <w:pPr>
      <w:spacing w:after="0" w:line="240" w:lineRule="auto"/>
    </w:pPr>
    <w:rPr>
      <w:rFonts w:ascii="Tahoma" w:eastAsia="Times New Roman" w:hAnsi="Tahoma" w:cs="Times New Roman"/>
      <w:sz w:val="16"/>
      <w:szCs w:val="16"/>
    </w:rPr>
  </w:style>
  <w:style w:type="character" w:customStyle="1" w:styleId="aff3">
    <w:name w:val="Текст выноски Знак"/>
    <w:basedOn w:val="a0"/>
    <w:link w:val="aff2"/>
    <w:rsid w:val="00A123B9"/>
    <w:rPr>
      <w:rFonts w:ascii="Tahoma" w:eastAsia="Times New Roman" w:hAnsi="Tahoma" w:cs="Times New Roman"/>
      <w:sz w:val="16"/>
      <w:szCs w:val="16"/>
    </w:rPr>
  </w:style>
  <w:style w:type="table" w:styleId="aff4">
    <w:name w:val="Table Grid"/>
    <w:basedOn w:val="a1"/>
    <w:rsid w:val="00A123B9"/>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A123B9"/>
  </w:style>
  <w:style w:type="character" w:styleId="aff5">
    <w:name w:val="annotation reference"/>
    <w:rsid w:val="00A123B9"/>
    <w:rPr>
      <w:sz w:val="16"/>
      <w:szCs w:val="16"/>
    </w:rPr>
  </w:style>
  <w:style w:type="paragraph" w:styleId="aff6">
    <w:name w:val="annotation text"/>
    <w:basedOn w:val="a"/>
    <w:link w:val="aff7"/>
    <w:rsid w:val="00A123B9"/>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0"/>
    <w:link w:val="aff6"/>
    <w:rsid w:val="00A123B9"/>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A123B9"/>
    <w:rPr>
      <w:b/>
      <w:bCs/>
    </w:rPr>
  </w:style>
  <w:style w:type="character" w:customStyle="1" w:styleId="aff9">
    <w:name w:val="Тема примечания Знак"/>
    <w:basedOn w:val="aff7"/>
    <w:link w:val="aff8"/>
    <w:rsid w:val="00A123B9"/>
    <w:rPr>
      <w:b/>
      <w:bCs/>
    </w:rPr>
  </w:style>
  <w:style w:type="paragraph" w:customStyle="1" w:styleId="Default">
    <w:name w:val="Default"/>
    <w:rsid w:val="00A123B9"/>
    <w:pPr>
      <w:autoSpaceDE w:val="0"/>
      <w:autoSpaceDN w:val="0"/>
      <w:adjustRightInd w:val="0"/>
      <w:spacing w:after="0" w:line="240" w:lineRule="auto"/>
    </w:pPr>
    <w:rPr>
      <w:rFonts w:ascii="EYInterstate" w:eastAsia="Times New Roman" w:hAnsi="EYInterstate" w:cs="EYInterstate"/>
      <w:color w:val="000000"/>
      <w:sz w:val="24"/>
      <w:szCs w:val="24"/>
      <w:lang w:val="ru-RU" w:eastAsia="ru-RU"/>
    </w:rPr>
  </w:style>
  <w:style w:type="paragraph" w:customStyle="1" w:styleId="Tabletext">
    <w:name w:val="Tabletext"/>
    <w:basedOn w:val="a"/>
    <w:rsid w:val="00A123B9"/>
    <w:pPr>
      <w:spacing w:before="40" w:after="40" w:line="240" w:lineRule="auto"/>
    </w:pPr>
    <w:rPr>
      <w:rFonts w:ascii="Times New Roman" w:eastAsia="Calibri" w:hAnsi="Times New Roman" w:cs="Times New Roman"/>
      <w:sz w:val="18"/>
      <w:szCs w:val="20"/>
      <w:lang w:val="en-US" w:eastAsia="en-US"/>
    </w:rPr>
  </w:style>
  <w:style w:type="character" w:customStyle="1" w:styleId="shorttext">
    <w:name w:val="short_text"/>
    <w:rsid w:val="00A123B9"/>
  </w:style>
  <w:style w:type="character" w:customStyle="1" w:styleId="hps">
    <w:name w:val="hps"/>
    <w:rsid w:val="00A123B9"/>
  </w:style>
  <w:style w:type="paragraph" w:customStyle="1" w:styleId="indent">
    <w:name w:val="indent"/>
    <w:basedOn w:val="a"/>
    <w:rsid w:val="00A123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rsid w:val="00A123B9"/>
  </w:style>
  <w:style w:type="paragraph" w:customStyle="1" w:styleId="rvps2">
    <w:name w:val="rvps2"/>
    <w:basedOn w:val="a"/>
    <w:rsid w:val="00A123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id-translation">
    <w:name w:val="tlid-translation"/>
    <w:rsid w:val="00A123B9"/>
  </w:style>
  <w:style w:type="paragraph" w:customStyle="1" w:styleId="Style54">
    <w:name w:val="Style54"/>
    <w:basedOn w:val="a"/>
    <w:uiPriority w:val="99"/>
    <w:rsid w:val="00A123B9"/>
    <w:pPr>
      <w:widowControl w:val="0"/>
      <w:autoSpaceDE w:val="0"/>
      <w:autoSpaceDN w:val="0"/>
      <w:adjustRightInd w:val="0"/>
      <w:spacing w:after="0" w:line="216" w:lineRule="exact"/>
      <w:jc w:val="both"/>
    </w:pPr>
    <w:rPr>
      <w:rFonts w:ascii="Garamond" w:eastAsia="Times New Roman" w:hAnsi="Garamond" w:cs="Times New Roman"/>
      <w:sz w:val="24"/>
      <w:szCs w:val="24"/>
      <w:lang w:val="ru-RU" w:eastAsia="ru-RU"/>
    </w:rPr>
  </w:style>
  <w:style w:type="paragraph" w:customStyle="1" w:styleId="docdata">
    <w:name w:val="docdata"/>
    <w:aliases w:val="docy,v5,2548,baiaagaaboqcaaadgggaaauocaaaaaaaaaaaaaaaaaaaaaaaaaaaaaaaaaaaaaaaaaaaaaaaaaaaaaaaaaaaaaaaaaaaaaaaaaaaaaaaaaaaaaaaaaaaaaaaaaaaaaaaaaaaaaaaaaaaaaaaaaaaaaaaaaaaaaaaaaaaaaaaaaaaaaaaaaaaaaaaaaaaaaaaaaaaaaaaaaaaaaaaaaaaaaaaaaaaaaaaaaaaaaaa"/>
    <w:basedOn w:val="a"/>
    <w:rsid w:val="00A123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nk.gov.ua/ua/legislation/Decision_02062022_261-rsh_bt" TargetMode="External"/><Relationship Id="rId5" Type="http://schemas.openxmlformats.org/officeDocument/2006/relationships/hyperlink" Target="https://ban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58</Pages>
  <Words>93271</Words>
  <Characters>53166</Characters>
  <Application>Microsoft Office Word</Application>
  <DocSecurity>0</DocSecurity>
  <Lines>443</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7</cp:revision>
  <dcterms:created xsi:type="dcterms:W3CDTF">2023-11-07T12:04:00Z</dcterms:created>
  <dcterms:modified xsi:type="dcterms:W3CDTF">2023-11-07T16:16:00Z</dcterms:modified>
</cp:coreProperties>
</file>