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9D6" w:rsidRPr="0024491B" w:rsidRDefault="00D979D6" w:rsidP="00F15ACA">
      <w:pPr>
        <w:ind w:left="5103" w:right="708" w:firstLine="993"/>
        <w:jc w:val="center"/>
        <w:rPr>
          <w:b/>
          <w:lang w:val="uk-UA"/>
        </w:rPr>
      </w:pPr>
      <w:r w:rsidRPr="0024491B">
        <w:rPr>
          <w:b/>
          <w:lang w:val="uk-UA"/>
        </w:rPr>
        <w:t>ЗАТВЕРДЖЕНО</w:t>
      </w:r>
    </w:p>
    <w:p w:rsidR="00D979D6" w:rsidRPr="0024491B" w:rsidRDefault="00D979D6" w:rsidP="00F15ACA">
      <w:pPr>
        <w:ind w:left="5103" w:right="708" w:firstLine="993"/>
        <w:jc w:val="center"/>
        <w:rPr>
          <w:lang w:val="uk-UA"/>
        </w:rPr>
      </w:pPr>
      <w:r w:rsidRPr="0024491B">
        <w:rPr>
          <w:lang w:val="uk-UA"/>
        </w:rPr>
        <w:t>Рішення Загальних зборів акціонерів</w:t>
      </w:r>
    </w:p>
    <w:p w:rsidR="00D979D6" w:rsidRPr="0024491B" w:rsidRDefault="00D979D6" w:rsidP="00F15ACA">
      <w:pPr>
        <w:ind w:left="6237" w:right="708"/>
        <w:jc w:val="center"/>
        <w:rPr>
          <w:lang w:val="uk-UA"/>
        </w:rPr>
      </w:pPr>
      <w:r w:rsidRPr="0024491B">
        <w:rPr>
          <w:lang w:val="uk-UA"/>
        </w:rPr>
        <w:t>Приватного акціонерного товариства «Страхові гарантії України»</w:t>
      </w:r>
    </w:p>
    <w:p w:rsidR="00715461" w:rsidRPr="0024491B" w:rsidRDefault="00715461" w:rsidP="00F15ACA">
      <w:pPr>
        <w:ind w:left="5103" w:right="708" w:firstLine="993"/>
        <w:jc w:val="center"/>
        <w:rPr>
          <w:lang w:val="uk-UA"/>
        </w:rPr>
      </w:pPr>
      <w:r w:rsidRPr="0024491B">
        <w:rPr>
          <w:lang w:val="uk-UA"/>
        </w:rPr>
        <w:t>від «</w:t>
      </w:r>
      <w:r w:rsidR="00E17230" w:rsidRPr="0024491B">
        <w:rPr>
          <w:lang w:val="uk-UA"/>
        </w:rPr>
        <w:t>26</w:t>
      </w:r>
      <w:r w:rsidRPr="0024491B">
        <w:rPr>
          <w:lang w:val="uk-UA"/>
        </w:rPr>
        <w:t xml:space="preserve">» </w:t>
      </w:r>
      <w:r w:rsidR="00E17230" w:rsidRPr="0024491B">
        <w:rPr>
          <w:lang w:val="uk-UA"/>
        </w:rPr>
        <w:t>лютого</w:t>
      </w:r>
      <w:r w:rsidRPr="0024491B">
        <w:rPr>
          <w:lang w:val="uk-UA"/>
        </w:rPr>
        <w:t xml:space="preserve"> 202</w:t>
      </w:r>
      <w:r w:rsidR="00E17230" w:rsidRPr="0024491B">
        <w:rPr>
          <w:lang w:val="uk-UA"/>
        </w:rPr>
        <w:t>4</w:t>
      </w:r>
      <w:r w:rsidRPr="0024491B">
        <w:rPr>
          <w:lang w:val="uk-UA"/>
        </w:rPr>
        <w:t xml:space="preserve"> року</w:t>
      </w:r>
    </w:p>
    <w:p w:rsidR="0024491B" w:rsidRPr="001266F9" w:rsidRDefault="0024491B" w:rsidP="00F15ACA">
      <w:pPr>
        <w:ind w:right="708" w:firstLine="993"/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>Голова Правління                        Гусєва І.О.</w:t>
      </w:r>
    </w:p>
    <w:p w:rsidR="00D979D6" w:rsidRPr="001266F9" w:rsidRDefault="00D979D6" w:rsidP="00F15ACA">
      <w:pPr>
        <w:ind w:firstLine="993"/>
        <w:jc w:val="center"/>
        <w:rPr>
          <w:lang w:val="uk-UA"/>
        </w:rPr>
      </w:pPr>
    </w:p>
    <w:p w:rsidR="00D979D6" w:rsidRPr="001266F9" w:rsidRDefault="00D979D6" w:rsidP="00EC5F00">
      <w:pPr>
        <w:jc w:val="center"/>
        <w:rPr>
          <w:lang w:val="uk-UA"/>
        </w:rPr>
      </w:pPr>
    </w:p>
    <w:p w:rsidR="00D979D6" w:rsidRPr="001266F9" w:rsidRDefault="00D979D6" w:rsidP="00EC5F00">
      <w:pPr>
        <w:jc w:val="center"/>
        <w:rPr>
          <w:lang w:val="uk-UA"/>
        </w:rPr>
      </w:pPr>
    </w:p>
    <w:p w:rsidR="00D979D6" w:rsidRPr="001266F9" w:rsidRDefault="00D979D6" w:rsidP="00EC5F00">
      <w:pPr>
        <w:jc w:val="center"/>
        <w:rPr>
          <w:lang w:val="uk-UA"/>
        </w:rPr>
      </w:pPr>
    </w:p>
    <w:p w:rsidR="00D979D6" w:rsidRPr="001266F9" w:rsidRDefault="00D979D6" w:rsidP="00EC5F00">
      <w:pPr>
        <w:jc w:val="center"/>
        <w:rPr>
          <w:lang w:val="uk-UA"/>
        </w:rPr>
      </w:pPr>
    </w:p>
    <w:p w:rsidR="00D979D6" w:rsidRPr="001266F9" w:rsidRDefault="00D979D6" w:rsidP="00EC5F00">
      <w:pPr>
        <w:jc w:val="center"/>
        <w:rPr>
          <w:lang w:val="uk-UA"/>
        </w:rPr>
      </w:pPr>
    </w:p>
    <w:p w:rsidR="00D979D6" w:rsidRPr="001266F9" w:rsidRDefault="00D979D6" w:rsidP="00EC5F00">
      <w:pPr>
        <w:jc w:val="center"/>
        <w:rPr>
          <w:b/>
          <w:sz w:val="50"/>
          <w:szCs w:val="50"/>
          <w:lang w:val="uk-UA"/>
        </w:rPr>
      </w:pPr>
      <w:r w:rsidRPr="001266F9">
        <w:rPr>
          <w:b/>
          <w:sz w:val="50"/>
          <w:szCs w:val="50"/>
          <w:lang w:val="uk-UA"/>
        </w:rPr>
        <w:t>ПОЛОЖЕННЯ</w:t>
      </w:r>
    </w:p>
    <w:p w:rsidR="00D979D6" w:rsidRPr="001266F9" w:rsidRDefault="00D979D6" w:rsidP="00EC5F00">
      <w:pPr>
        <w:jc w:val="center"/>
        <w:rPr>
          <w:b/>
          <w:sz w:val="50"/>
          <w:szCs w:val="50"/>
          <w:lang w:val="uk-UA"/>
        </w:rPr>
      </w:pPr>
      <w:r w:rsidRPr="001266F9">
        <w:rPr>
          <w:b/>
          <w:sz w:val="50"/>
          <w:szCs w:val="50"/>
          <w:lang w:val="uk-UA"/>
        </w:rPr>
        <w:t xml:space="preserve">про </w:t>
      </w:r>
      <w:r w:rsidR="005F0BCA" w:rsidRPr="001266F9">
        <w:rPr>
          <w:b/>
          <w:sz w:val="50"/>
          <w:szCs w:val="50"/>
          <w:lang w:val="uk-UA"/>
        </w:rPr>
        <w:t xml:space="preserve">винагороду членів </w:t>
      </w:r>
      <w:r w:rsidR="001266F9" w:rsidRPr="001266F9">
        <w:rPr>
          <w:b/>
          <w:sz w:val="50"/>
          <w:szCs w:val="50"/>
          <w:lang w:val="uk-UA"/>
        </w:rPr>
        <w:t>Наглядової ради</w:t>
      </w:r>
      <w:r w:rsidRPr="001266F9">
        <w:rPr>
          <w:b/>
          <w:sz w:val="50"/>
          <w:szCs w:val="50"/>
          <w:lang w:val="uk-UA"/>
        </w:rPr>
        <w:t xml:space="preserve"> </w:t>
      </w:r>
    </w:p>
    <w:p w:rsidR="00D979D6" w:rsidRPr="001266F9" w:rsidRDefault="00D979D6" w:rsidP="00EC5F00">
      <w:pPr>
        <w:jc w:val="center"/>
        <w:rPr>
          <w:b/>
          <w:sz w:val="50"/>
          <w:szCs w:val="50"/>
          <w:lang w:val="uk-UA"/>
        </w:rPr>
      </w:pPr>
    </w:p>
    <w:p w:rsidR="00D979D6" w:rsidRPr="001266F9" w:rsidRDefault="00D979D6" w:rsidP="00821552">
      <w:pPr>
        <w:jc w:val="center"/>
        <w:rPr>
          <w:b/>
          <w:sz w:val="40"/>
          <w:szCs w:val="40"/>
          <w:lang w:val="uk-UA"/>
        </w:rPr>
      </w:pPr>
      <w:r w:rsidRPr="001266F9">
        <w:rPr>
          <w:b/>
          <w:sz w:val="40"/>
          <w:szCs w:val="40"/>
          <w:lang w:val="uk-UA"/>
        </w:rPr>
        <w:t>ПРИВАТНОГО АКЦІОНЕРНОГО ТОВАРИСТВА</w:t>
      </w:r>
    </w:p>
    <w:p w:rsidR="00D979D6" w:rsidRPr="001266F9" w:rsidRDefault="00D979D6" w:rsidP="00821552">
      <w:pPr>
        <w:jc w:val="center"/>
        <w:rPr>
          <w:b/>
          <w:sz w:val="40"/>
          <w:szCs w:val="40"/>
          <w:lang w:val="uk-UA"/>
        </w:rPr>
      </w:pPr>
      <w:r w:rsidRPr="001266F9">
        <w:rPr>
          <w:b/>
          <w:sz w:val="56"/>
          <w:szCs w:val="56"/>
          <w:lang w:val="uk-UA"/>
        </w:rPr>
        <w:t>«СТРАХОВІ ГАРАНТІЇ УКРАЇНИ»</w:t>
      </w:r>
    </w:p>
    <w:p w:rsidR="00D979D6" w:rsidRPr="001266F9" w:rsidRDefault="00D979D6" w:rsidP="005137DC">
      <w:pPr>
        <w:jc w:val="center"/>
        <w:rPr>
          <w:b/>
          <w:sz w:val="50"/>
          <w:szCs w:val="50"/>
          <w:lang w:val="uk-UA"/>
        </w:rPr>
      </w:pPr>
    </w:p>
    <w:p w:rsidR="00D979D6" w:rsidRPr="001266F9" w:rsidRDefault="00D979D6" w:rsidP="005137DC">
      <w:pPr>
        <w:jc w:val="center"/>
        <w:rPr>
          <w:b/>
          <w:sz w:val="50"/>
          <w:szCs w:val="50"/>
          <w:lang w:val="uk-UA"/>
        </w:rPr>
        <w:sectPr w:rsidR="00D979D6" w:rsidRPr="001266F9" w:rsidSect="00F15ACA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308" w:right="283" w:bottom="276" w:left="283" w:header="708" w:footer="820" w:gutter="0"/>
          <w:pgBorders w:offsetFrom="page">
            <w:top w:val="double" w:sz="4" w:space="24" w:color="7A7A7A"/>
            <w:left w:val="double" w:sz="4" w:space="24" w:color="7A7A7A"/>
            <w:bottom w:val="double" w:sz="4" w:space="24" w:color="7A7A7A"/>
            <w:right w:val="double" w:sz="4" w:space="24" w:color="7A7A7A"/>
          </w:pgBorders>
          <w:cols w:space="708"/>
          <w:titlePg/>
          <w:docGrid w:linePitch="360"/>
        </w:sectPr>
      </w:pPr>
    </w:p>
    <w:p w:rsidR="00D979D6" w:rsidRPr="001266F9" w:rsidRDefault="00D979D6" w:rsidP="003726E1">
      <w:pPr>
        <w:pStyle w:val="a7"/>
        <w:numPr>
          <w:ilvl w:val="0"/>
          <w:numId w:val="1"/>
        </w:numPr>
        <w:contextualSpacing w:val="0"/>
        <w:jc w:val="both"/>
        <w:rPr>
          <w:b/>
          <w:lang w:val="uk-UA"/>
        </w:rPr>
      </w:pPr>
      <w:r w:rsidRPr="001266F9">
        <w:rPr>
          <w:b/>
          <w:lang w:val="uk-UA"/>
        </w:rPr>
        <w:lastRenderedPageBreak/>
        <w:t>ЗАГАЛЬНІ ПОЛОЖЕННЯ</w:t>
      </w:r>
    </w:p>
    <w:p w:rsidR="001266F9" w:rsidRPr="001266F9" w:rsidRDefault="001266F9" w:rsidP="00422D4C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snapToGrid w:val="0"/>
          <w:lang w:val="uk-UA"/>
        </w:rPr>
        <w:t xml:space="preserve">Положення про винагороду членів Наглядової ради </w:t>
      </w:r>
      <w:r w:rsidRPr="001266F9">
        <w:rPr>
          <w:bCs/>
          <w:iCs/>
          <w:lang w:val="uk-UA"/>
        </w:rPr>
        <w:t>ПРИВАТНОГО АКЦІОНЕРНОГО ТОВАРИСТВА</w:t>
      </w:r>
      <w:r w:rsidRPr="001266F9">
        <w:rPr>
          <w:b/>
          <w:bCs/>
          <w:iCs/>
          <w:lang w:val="uk-UA"/>
        </w:rPr>
        <w:t xml:space="preserve"> </w:t>
      </w:r>
      <w:r w:rsidRPr="001266F9">
        <w:rPr>
          <w:iCs/>
          <w:lang w:val="uk-UA"/>
        </w:rPr>
        <w:t>«</w:t>
      </w:r>
      <w:r w:rsidRPr="001266F9">
        <w:rPr>
          <w:lang w:val="uk-UA"/>
        </w:rPr>
        <w:t>СТРАХОВІ ГАРАНТІЇ УКРАЇНИ</w:t>
      </w:r>
      <w:r w:rsidRPr="001266F9">
        <w:rPr>
          <w:bCs/>
          <w:iCs/>
          <w:lang w:val="uk-UA"/>
        </w:rPr>
        <w:t>»</w:t>
      </w:r>
      <w:r w:rsidRPr="001266F9">
        <w:rPr>
          <w:rStyle w:val="10pt0"/>
          <w:rFonts w:eastAsia="Courier New"/>
          <w:sz w:val="22"/>
          <w:szCs w:val="22"/>
        </w:rPr>
        <w:t xml:space="preserve"> </w:t>
      </w:r>
      <w:r w:rsidRPr="001266F9">
        <w:rPr>
          <w:rStyle w:val="10pt0"/>
          <w:rFonts w:eastAsia="Courier New"/>
          <w:b w:val="0"/>
          <w:sz w:val="22"/>
          <w:szCs w:val="22"/>
        </w:rPr>
        <w:t>(далі – Положення</w:t>
      </w:r>
      <w:r w:rsidRPr="001266F9">
        <w:rPr>
          <w:rStyle w:val="10pt0"/>
          <w:rFonts w:eastAsia="Courier New"/>
          <w:sz w:val="22"/>
          <w:szCs w:val="22"/>
        </w:rPr>
        <w:t xml:space="preserve">) </w:t>
      </w:r>
      <w:r w:rsidRPr="001266F9">
        <w:rPr>
          <w:snapToGrid w:val="0"/>
          <w:lang w:val="uk-UA"/>
        </w:rPr>
        <w:t xml:space="preserve">розроблене відповідно до вимог чинного законодавства України та внутрішніх документів Товариства, зокрема </w:t>
      </w:r>
      <w:r w:rsidRPr="001266F9">
        <w:rPr>
          <w:lang w:val="uk-UA"/>
        </w:rPr>
        <w:t xml:space="preserve">Закону України «Про акціонерні товариства», </w:t>
      </w:r>
      <w:r w:rsidR="00BB3FD0">
        <w:rPr>
          <w:lang w:val="uk-UA"/>
        </w:rPr>
        <w:t xml:space="preserve">Закону України «Про страхування», </w:t>
      </w:r>
      <w:r w:rsidR="00BB3FD0" w:rsidRPr="001266F9">
        <w:rPr>
          <w:rFonts w:eastAsia="Arial"/>
          <w:color w:val="000000" w:themeColor="text1"/>
          <w:lang w:val="uk-UA"/>
        </w:rPr>
        <w:t xml:space="preserve">Положенню про </w:t>
      </w:r>
      <w:r w:rsidR="00BB3FD0">
        <w:rPr>
          <w:rFonts w:eastAsia="Arial"/>
          <w:color w:val="000000" w:themeColor="text1"/>
          <w:lang w:val="uk-UA"/>
        </w:rPr>
        <w:t>вимоги до системи управління страховика</w:t>
      </w:r>
      <w:r w:rsidR="00BB3FD0" w:rsidRPr="001266F9">
        <w:rPr>
          <w:rFonts w:eastAsia="Arial"/>
          <w:color w:val="000000" w:themeColor="text1"/>
          <w:lang w:val="uk-UA"/>
        </w:rPr>
        <w:t xml:space="preserve">, затвердженого </w:t>
      </w:r>
      <w:r w:rsidR="00BB3FD0" w:rsidRPr="001266F9">
        <w:rPr>
          <w:rFonts w:eastAsia="Times New Roman"/>
          <w:color w:val="000000" w:themeColor="text1"/>
          <w:lang w:val="uk-UA" w:eastAsia="uk-UA"/>
        </w:rPr>
        <w:t>Постановою Правління Національного</w:t>
      </w:r>
      <w:r w:rsidR="00BB3FD0" w:rsidRPr="001266F9">
        <w:rPr>
          <w:rFonts w:eastAsia="Arial"/>
          <w:color w:val="000000" w:themeColor="text1"/>
          <w:lang w:val="uk-UA"/>
        </w:rPr>
        <w:t xml:space="preserve"> банку України </w:t>
      </w:r>
      <w:r w:rsidR="00BB3FD0">
        <w:rPr>
          <w:rFonts w:eastAsia="Arial"/>
          <w:color w:val="000000" w:themeColor="text1"/>
          <w:lang w:val="uk-UA"/>
        </w:rPr>
        <w:t xml:space="preserve">27.12.2023р. </w:t>
      </w:r>
      <w:r w:rsidR="00BB3FD0" w:rsidRPr="001266F9">
        <w:rPr>
          <w:rFonts w:eastAsia="Arial"/>
          <w:color w:val="000000" w:themeColor="text1"/>
          <w:lang w:val="uk-UA"/>
        </w:rPr>
        <w:t>№ 1</w:t>
      </w:r>
      <w:r w:rsidR="00BB3FD0">
        <w:rPr>
          <w:rFonts w:eastAsia="Arial"/>
          <w:color w:val="000000" w:themeColor="text1"/>
          <w:lang w:val="uk-UA"/>
        </w:rPr>
        <w:t>94</w:t>
      </w:r>
      <w:r w:rsidR="00BB3FD0" w:rsidRPr="001266F9">
        <w:rPr>
          <w:rFonts w:eastAsia="Arial"/>
          <w:color w:val="000000" w:themeColor="text1"/>
          <w:lang w:val="uk-UA"/>
        </w:rPr>
        <w:t xml:space="preserve">, </w:t>
      </w:r>
      <w:r w:rsidRPr="001266F9">
        <w:rPr>
          <w:rFonts w:eastAsia="Arial"/>
          <w:color w:val="000000" w:themeColor="text1"/>
          <w:lang w:val="uk-UA"/>
        </w:rPr>
        <w:t xml:space="preserve">Положенню про </w:t>
      </w:r>
      <w:r w:rsidR="00BB3FD0">
        <w:rPr>
          <w:rFonts w:eastAsia="Arial"/>
          <w:color w:val="000000" w:themeColor="text1"/>
          <w:lang w:val="uk-UA"/>
        </w:rPr>
        <w:t>авторизацію</w:t>
      </w:r>
      <w:r w:rsidRPr="001266F9">
        <w:rPr>
          <w:rFonts w:eastAsia="Arial"/>
          <w:color w:val="000000" w:themeColor="text1"/>
          <w:lang w:val="uk-UA"/>
        </w:rPr>
        <w:t xml:space="preserve"> надавачів фінансових послуг та умови </w:t>
      </w:r>
      <w:r w:rsidR="00BB3FD0">
        <w:rPr>
          <w:rFonts w:eastAsia="Arial"/>
          <w:color w:val="000000" w:themeColor="text1"/>
          <w:lang w:val="uk-UA"/>
        </w:rPr>
        <w:t>здійснення</w:t>
      </w:r>
      <w:r w:rsidRPr="001266F9">
        <w:rPr>
          <w:rFonts w:eastAsia="Arial"/>
          <w:color w:val="000000" w:themeColor="text1"/>
          <w:lang w:val="uk-UA"/>
        </w:rPr>
        <w:t xml:space="preserve"> ними діяльності з надання фінансових послуг, затвердженого </w:t>
      </w:r>
      <w:r w:rsidRPr="001266F9">
        <w:rPr>
          <w:rFonts w:eastAsia="Times New Roman"/>
          <w:color w:val="000000" w:themeColor="text1"/>
          <w:lang w:val="uk-UA" w:eastAsia="uk-UA"/>
        </w:rPr>
        <w:t>Постановою Правління Національного</w:t>
      </w:r>
      <w:r w:rsidRPr="001266F9">
        <w:rPr>
          <w:rFonts w:eastAsia="Arial"/>
          <w:color w:val="000000" w:themeColor="text1"/>
          <w:lang w:val="uk-UA"/>
        </w:rPr>
        <w:t xml:space="preserve"> банку України </w:t>
      </w:r>
      <w:r w:rsidR="00BB3FD0">
        <w:rPr>
          <w:rFonts w:eastAsia="Arial"/>
          <w:color w:val="000000" w:themeColor="text1"/>
          <w:lang w:val="uk-UA"/>
        </w:rPr>
        <w:t xml:space="preserve">29.12.2023р. </w:t>
      </w:r>
      <w:r w:rsidRPr="001266F9">
        <w:rPr>
          <w:rFonts w:eastAsia="Arial"/>
          <w:color w:val="000000" w:themeColor="text1"/>
          <w:lang w:val="uk-UA"/>
        </w:rPr>
        <w:t>№ 1</w:t>
      </w:r>
      <w:r w:rsidR="00BB3FD0">
        <w:rPr>
          <w:rFonts w:eastAsia="Arial"/>
          <w:color w:val="000000" w:themeColor="text1"/>
          <w:lang w:val="uk-UA"/>
        </w:rPr>
        <w:t>99</w:t>
      </w:r>
      <w:r w:rsidRPr="001266F9">
        <w:rPr>
          <w:rFonts w:eastAsia="Arial"/>
          <w:color w:val="000000" w:themeColor="text1"/>
          <w:lang w:val="uk-UA"/>
        </w:rPr>
        <w:t xml:space="preserve">, </w:t>
      </w:r>
      <w:r w:rsidRPr="001266F9">
        <w:rPr>
          <w:lang w:val="uk-UA"/>
        </w:rPr>
        <w:t>Кодексу законів про працю України, Цивільного кодексу України, нормативно-правових актів Національного банку України, інших нормативних актів, чинних на території України, Статуту Товариства, Положення про Наглядову раду Товариства.</w:t>
      </w:r>
    </w:p>
    <w:p w:rsidR="00D979D6" w:rsidRPr="001266F9" w:rsidRDefault="001266F9" w:rsidP="003726E1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 xml:space="preserve">Метою впровадження Положення про винагороду членів Наглядової ради </w:t>
      </w:r>
      <w:r w:rsidRPr="001266F9">
        <w:rPr>
          <w:bCs/>
          <w:iCs/>
          <w:lang w:val="uk-UA"/>
        </w:rPr>
        <w:t>ПРИВАТНОГО АКЦІОНЕРНОГО ТОВАРИСТВА</w:t>
      </w:r>
      <w:r w:rsidRPr="001266F9">
        <w:rPr>
          <w:b/>
          <w:bCs/>
          <w:iCs/>
          <w:lang w:val="uk-UA"/>
        </w:rPr>
        <w:t xml:space="preserve"> </w:t>
      </w:r>
      <w:r w:rsidRPr="001266F9">
        <w:rPr>
          <w:iCs/>
          <w:lang w:val="uk-UA"/>
        </w:rPr>
        <w:t>«</w:t>
      </w:r>
      <w:r w:rsidRPr="001266F9">
        <w:rPr>
          <w:lang w:val="uk-UA"/>
        </w:rPr>
        <w:t>СТРАХОВІ ГАРАНТІЇ УКРАЇНИ</w:t>
      </w:r>
      <w:r w:rsidRPr="001266F9">
        <w:rPr>
          <w:bCs/>
          <w:iCs/>
          <w:lang w:val="uk-UA"/>
        </w:rPr>
        <w:t>»</w:t>
      </w:r>
      <w:r w:rsidRPr="001266F9">
        <w:rPr>
          <w:lang w:val="uk-UA"/>
        </w:rPr>
        <w:t xml:space="preserve"> (далі – Товариство) є збільшення прозорості щодо винагороди членів Наглядової ради та забезпечення дієвого контролю акціонерами за винагородою членів Наглядової ради</w:t>
      </w:r>
      <w:r w:rsidR="00D979D6" w:rsidRPr="001266F9">
        <w:rPr>
          <w:lang w:val="uk-UA"/>
        </w:rPr>
        <w:t>.</w:t>
      </w:r>
    </w:p>
    <w:p w:rsidR="005F0BCA" w:rsidRPr="001266F9" w:rsidRDefault="001266F9" w:rsidP="003726E1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szCs w:val="22"/>
          <w:lang w:val="uk-UA"/>
        </w:rPr>
        <w:t>Положення встановлює загальний порядок виплати винагороди членам Наглядової ради з урахуванням його розміру та особливостей діяльності, сприяє дотриманню корпоративних цінностей та забезпечує членам Наглядової ради Товариства прозорість та відкритість принципів, відповідно до яких їм виплачується винагорода</w:t>
      </w:r>
      <w:r w:rsidR="005F0BCA" w:rsidRPr="001266F9">
        <w:rPr>
          <w:szCs w:val="22"/>
          <w:lang w:val="uk-UA"/>
        </w:rPr>
        <w:t>.</w:t>
      </w:r>
    </w:p>
    <w:p w:rsidR="00D979D6" w:rsidRPr="001266F9" w:rsidRDefault="001266F9" w:rsidP="003726E1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У разі суперечності норм даного Положення і норм Статуту Товариства та/або чинного законодавства України, застосовуються норми Статуту Товариства та/або чинного законодавства України</w:t>
      </w:r>
      <w:r w:rsidR="00D979D6" w:rsidRPr="001266F9">
        <w:rPr>
          <w:lang w:val="uk-UA"/>
        </w:rPr>
        <w:t>.</w:t>
      </w:r>
    </w:p>
    <w:p w:rsidR="00D979D6" w:rsidRPr="001266F9" w:rsidRDefault="001266F9" w:rsidP="003726E1">
      <w:pPr>
        <w:pStyle w:val="a7"/>
        <w:numPr>
          <w:ilvl w:val="0"/>
          <w:numId w:val="1"/>
        </w:numPr>
        <w:contextualSpacing w:val="0"/>
        <w:jc w:val="both"/>
        <w:rPr>
          <w:b/>
          <w:lang w:val="uk-UA"/>
        </w:rPr>
      </w:pPr>
      <w:r w:rsidRPr="001266F9">
        <w:rPr>
          <w:b/>
          <w:lang w:val="uk-UA"/>
        </w:rPr>
        <w:t>ПРИНЦИПИ ПОЛІТИКИ ВИНАГОРОДИ ЧЛЕНІВ НАГЛЯДОВОЇ РАДИ</w:t>
      </w:r>
    </w:p>
    <w:p w:rsidR="00D979D6" w:rsidRPr="001266F9" w:rsidRDefault="001266F9" w:rsidP="00593F39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Порядок роботи членів Наглядової ради, а також виплати їм винагороди визначається чинним законодавством України, цим положенням, а також цивільно-правовими чи трудовими договорами (контрактами) (далі – Договір/Договори), що укладаються з членами Наглядової ради. Такий Договір від імені Товариства підписується Головою Правління Товариства чи іншою уповноваженою Загальними зборами Товариства особою на умовах, затверджених рішенням Загальних зборів Товариства. У разі укладення з членом Наглядової ради цивільно-правового договору такий договір може бути оплатним або безоплатним</w:t>
      </w:r>
      <w:r w:rsidR="00D979D6" w:rsidRPr="001266F9">
        <w:rPr>
          <w:lang w:val="uk-UA"/>
        </w:rPr>
        <w:t>.</w:t>
      </w:r>
    </w:p>
    <w:p w:rsidR="00D979D6" w:rsidRPr="001266F9" w:rsidRDefault="001266F9" w:rsidP="001266F9">
      <w:pPr>
        <w:pStyle w:val="a7"/>
        <w:ind w:left="567"/>
        <w:contextualSpacing w:val="0"/>
        <w:jc w:val="both"/>
        <w:rPr>
          <w:lang w:val="uk-UA"/>
        </w:rPr>
      </w:pPr>
      <w:r w:rsidRPr="001266F9">
        <w:rPr>
          <w:lang w:val="uk-UA" w:eastAsia="uk-UA"/>
        </w:rPr>
        <w:t>Договори з членами Наглядової ради діють до припинення повноважень члена Наглядової ради у порядку, передбаченому законодавством України та/або Статутом Товариства</w:t>
      </w:r>
      <w:r w:rsidR="00D979D6" w:rsidRPr="001266F9">
        <w:rPr>
          <w:lang w:val="uk-UA"/>
        </w:rPr>
        <w:t>.</w:t>
      </w:r>
    </w:p>
    <w:p w:rsidR="005F452E" w:rsidRPr="001266F9" w:rsidRDefault="001266F9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Рішення про затвердження Договорів, що укладаються з членами Наглядової ради, встановлення розміру їх винагороди, у тому числі заохочувальних компенсаційних виплат</w:t>
      </w:r>
      <w:r w:rsidR="0024491B">
        <w:rPr>
          <w:lang w:val="uk-UA"/>
        </w:rPr>
        <w:t>,</w:t>
      </w:r>
      <w:r w:rsidRPr="001266F9">
        <w:rPr>
          <w:lang w:val="uk-UA"/>
        </w:rPr>
        <w:t xml:space="preserve"> приймається Загальними зборами Товариства</w:t>
      </w:r>
      <w:r w:rsidR="00D979D6" w:rsidRPr="001266F9">
        <w:rPr>
          <w:lang w:val="uk-UA"/>
        </w:rPr>
        <w:t>.</w:t>
      </w:r>
    </w:p>
    <w:p w:rsidR="005F0BCA" w:rsidRPr="001266F9" w:rsidRDefault="001266F9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Принципи політики винагороди членів Наглядової ради Товариства</w:t>
      </w:r>
      <w:r w:rsidR="005F0BCA" w:rsidRPr="001266F9">
        <w:rPr>
          <w:iCs/>
          <w:szCs w:val="22"/>
          <w:lang w:val="uk-UA"/>
        </w:rPr>
        <w:t>:</w:t>
      </w:r>
    </w:p>
    <w:p w:rsidR="005F0BCA" w:rsidRPr="001266F9" w:rsidRDefault="001266F9" w:rsidP="005F0BCA">
      <w:pPr>
        <w:pStyle w:val="a7"/>
        <w:numPr>
          <w:ilvl w:val="2"/>
          <w:numId w:val="1"/>
        </w:numPr>
        <w:spacing w:before="0"/>
        <w:ind w:left="1418" w:hanging="851"/>
        <w:contextualSpacing w:val="0"/>
        <w:jc w:val="both"/>
        <w:rPr>
          <w:iCs/>
          <w:szCs w:val="22"/>
          <w:lang w:val="uk-UA"/>
        </w:rPr>
      </w:pPr>
      <w:r w:rsidRPr="001266F9">
        <w:rPr>
          <w:szCs w:val="22"/>
          <w:lang w:val="uk-UA"/>
        </w:rPr>
        <w:t>винагорода має бути справедливою компенсацією членам Наглядової ради за їх діяльність в інтересах Товариства і відповідати рівню професійного досвіду та рівню відповідальності</w:t>
      </w:r>
      <w:r w:rsidR="005F0BCA" w:rsidRPr="001266F9">
        <w:rPr>
          <w:iCs/>
          <w:szCs w:val="22"/>
          <w:lang w:val="uk-UA"/>
        </w:rPr>
        <w:t>;</w:t>
      </w:r>
    </w:p>
    <w:p w:rsidR="005F0BCA" w:rsidRPr="001266F9" w:rsidRDefault="001266F9" w:rsidP="005F0BCA">
      <w:pPr>
        <w:pStyle w:val="a7"/>
        <w:numPr>
          <w:ilvl w:val="2"/>
          <w:numId w:val="1"/>
        </w:numPr>
        <w:spacing w:before="0"/>
        <w:ind w:left="1418" w:hanging="851"/>
        <w:contextualSpacing w:val="0"/>
        <w:jc w:val="both"/>
        <w:rPr>
          <w:iCs/>
          <w:szCs w:val="22"/>
          <w:lang w:val="uk-UA"/>
        </w:rPr>
      </w:pPr>
      <w:r w:rsidRPr="001266F9">
        <w:rPr>
          <w:rStyle w:val="rvts0"/>
          <w:szCs w:val="22"/>
          <w:lang w:val="uk-UA"/>
        </w:rPr>
        <w:t xml:space="preserve">розмір та умови виплати винагороди членів Наглядової ради мають бути </w:t>
      </w:r>
      <w:proofErr w:type="spellStart"/>
      <w:r w:rsidRPr="001266F9">
        <w:rPr>
          <w:rStyle w:val="rvts0"/>
          <w:szCs w:val="22"/>
          <w:lang w:val="uk-UA"/>
        </w:rPr>
        <w:t>співмірними</w:t>
      </w:r>
      <w:proofErr w:type="spellEnd"/>
      <w:r w:rsidRPr="001266F9">
        <w:rPr>
          <w:rStyle w:val="rvts0"/>
          <w:szCs w:val="22"/>
          <w:lang w:val="uk-UA"/>
        </w:rPr>
        <w:t xml:space="preserve"> ринковим показникам</w:t>
      </w:r>
      <w:r w:rsidR="005F0BCA" w:rsidRPr="001266F9">
        <w:rPr>
          <w:iCs/>
          <w:szCs w:val="22"/>
          <w:lang w:val="uk-UA"/>
        </w:rPr>
        <w:t>;</w:t>
      </w:r>
    </w:p>
    <w:p w:rsidR="005F0BCA" w:rsidRPr="001266F9" w:rsidRDefault="001266F9" w:rsidP="005F0BCA">
      <w:pPr>
        <w:pStyle w:val="a7"/>
        <w:numPr>
          <w:ilvl w:val="2"/>
          <w:numId w:val="1"/>
        </w:numPr>
        <w:spacing w:before="0"/>
        <w:ind w:left="1418" w:hanging="851"/>
        <w:contextualSpacing w:val="0"/>
        <w:jc w:val="both"/>
        <w:rPr>
          <w:iCs/>
          <w:szCs w:val="22"/>
          <w:lang w:val="uk-UA"/>
        </w:rPr>
      </w:pPr>
      <w:r w:rsidRPr="001266F9">
        <w:rPr>
          <w:szCs w:val="22"/>
          <w:lang w:val="uk-UA"/>
        </w:rPr>
        <w:t>розмір та структура винагороди членів Наглядової ради повинні бути прозорими та зрозумілими</w:t>
      </w:r>
      <w:r w:rsidRPr="001266F9">
        <w:rPr>
          <w:iCs/>
          <w:szCs w:val="22"/>
          <w:lang w:val="uk-UA"/>
        </w:rPr>
        <w:t>;</w:t>
      </w:r>
    </w:p>
    <w:p w:rsidR="001266F9" w:rsidRPr="0024491B" w:rsidRDefault="001266F9" w:rsidP="005F0BCA">
      <w:pPr>
        <w:pStyle w:val="a7"/>
        <w:numPr>
          <w:ilvl w:val="2"/>
          <w:numId w:val="1"/>
        </w:numPr>
        <w:spacing w:before="0"/>
        <w:ind w:left="1418" w:hanging="851"/>
        <w:contextualSpacing w:val="0"/>
        <w:jc w:val="both"/>
        <w:rPr>
          <w:iCs/>
          <w:szCs w:val="22"/>
          <w:lang w:val="uk-UA"/>
        </w:rPr>
      </w:pPr>
      <w:r w:rsidRPr="001266F9">
        <w:rPr>
          <w:szCs w:val="22"/>
          <w:lang w:val="uk-UA"/>
        </w:rPr>
        <w:lastRenderedPageBreak/>
        <w:t>винагорода членів Наглядової ради може диференціюватися в залежності від виконуваних членом Наглядової ради повноважень</w:t>
      </w:r>
      <w:r w:rsidR="0024491B">
        <w:rPr>
          <w:szCs w:val="22"/>
          <w:lang w:val="uk-UA"/>
        </w:rPr>
        <w:t>;</w:t>
      </w:r>
    </w:p>
    <w:p w:rsidR="0024491B" w:rsidRPr="00DC59C4" w:rsidRDefault="00DC59C4" w:rsidP="00622694">
      <w:pPr>
        <w:pStyle w:val="a7"/>
        <w:numPr>
          <w:ilvl w:val="2"/>
          <w:numId w:val="1"/>
        </w:numPr>
        <w:spacing w:before="0"/>
        <w:ind w:left="1418" w:hanging="851"/>
        <w:contextualSpacing w:val="0"/>
        <w:jc w:val="both"/>
        <w:rPr>
          <w:iCs/>
          <w:szCs w:val="22"/>
          <w:lang w:val="uk-UA"/>
        </w:rPr>
      </w:pPr>
      <w:r w:rsidRPr="00DC59C4">
        <w:rPr>
          <w:szCs w:val="22"/>
          <w:lang w:val="uk-UA"/>
        </w:rPr>
        <w:t xml:space="preserve">винагорода членів Наглядової </w:t>
      </w:r>
      <w:r>
        <w:rPr>
          <w:szCs w:val="22"/>
          <w:lang w:val="uk-UA"/>
        </w:rPr>
        <w:t>визначається з урахуванням необхідності дотримання принципу рівної оплати праці працівників чоловічої та жіночої статі з однаковим професійним досвідом та рівнем за рівну роботу або роботу однакової цінності.</w:t>
      </w:r>
    </w:p>
    <w:p w:rsidR="00D979D6" w:rsidRPr="001266F9" w:rsidRDefault="001266F9" w:rsidP="00640D38">
      <w:pPr>
        <w:pStyle w:val="a7"/>
        <w:numPr>
          <w:ilvl w:val="0"/>
          <w:numId w:val="1"/>
        </w:numPr>
        <w:contextualSpacing w:val="0"/>
        <w:jc w:val="both"/>
        <w:rPr>
          <w:b/>
          <w:lang w:val="uk-UA"/>
        </w:rPr>
      </w:pPr>
      <w:r w:rsidRPr="001266F9">
        <w:rPr>
          <w:b/>
          <w:lang w:val="uk-UA"/>
        </w:rPr>
        <w:t>ВИДИ ВИНАГОРОДИ ЧЛЕНІВ НАГЛЯДОВОЇ РАДИ</w:t>
      </w:r>
    </w:p>
    <w:p w:rsidR="00D979D6" w:rsidRPr="001266F9" w:rsidRDefault="001266F9" w:rsidP="00B1764F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Види, розмір та порядок виплати винагороди членам Наглядової ради встановлюється рішенням Загальних зборів Товариства та умовами укладених з ними Договорів</w:t>
      </w:r>
      <w:r w:rsidR="00D979D6" w:rsidRPr="001266F9">
        <w:rPr>
          <w:lang w:val="uk-UA"/>
        </w:rPr>
        <w:t>.</w:t>
      </w:r>
    </w:p>
    <w:p w:rsidR="00D979D6" w:rsidRPr="001266F9" w:rsidRDefault="001266F9" w:rsidP="00B1764F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Членам Наглядової ради виплачується фіксована винагорода, яка відображає рівень професійного досвіду та організаційної відповідальності з огляду на виконувані функції та обов’язки та не залежить від результатів діяльності Товариства, а також є гарантованою та такою, що не може бути змінена, скасована, затримана або витребувана для повернення Товариством, окрім як у випадках, передбачених законодавством України</w:t>
      </w:r>
      <w:r w:rsidR="00D979D6" w:rsidRPr="001266F9">
        <w:rPr>
          <w:lang w:val="uk-UA"/>
        </w:rPr>
        <w:t>.</w:t>
      </w:r>
    </w:p>
    <w:p w:rsidR="00D979D6" w:rsidRPr="001266F9" w:rsidRDefault="001266F9" w:rsidP="00B1764F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За результатами виконання членами Наглядової ради своїх функцій та обов’язків і наявності позитивного (значного) впливу прийнятих ними рішень на досягнуті резу</w:t>
      </w:r>
      <w:bookmarkStart w:id="1" w:name="_Hlk67325518"/>
      <w:r w:rsidRPr="001266F9">
        <w:rPr>
          <w:lang w:val="uk-UA"/>
        </w:rPr>
        <w:t>льтати діяльності Товариства Загальними зборами акціонерів може бути прийняте рішення про ви</w:t>
      </w:r>
      <w:bookmarkEnd w:id="1"/>
      <w:r w:rsidRPr="001266F9">
        <w:rPr>
          <w:lang w:val="uk-UA"/>
        </w:rPr>
        <w:t>плату змінної винагороди, у тому числі премій, та інших заохочувальних виплат</w:t>
      </w:r>
      <w:r w:rsidR="00765F7F" w:rsidRPr="001266F9">
        <w:rPr>
          <w:lang w:val="uk-UA"/>
        </w:rPr>
        <w:t>.</w:t>
      </w:r>
    </w:p>
    <w:p w:rsidR="003E2BAF" w:rsidRPr="001266F9" w:rsidRDefault="001266F9" w:rsidP="00B1764F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Змінна винагорода членів Наглядової ради (у разі її запровадження) має ґрунтуватися виключно на виконанні членами Наглядової ради функцій контролю, моніторингу та інших функцій, віднесених до компетенції Наглядової ради законодавством України</w:t>
      </w:r>
      <w:r w:rsidR="00DC59C4">
        <w:rPr>
          <w:lang w:val="uk-UA"/>
        </w:rPr>
        <w:t xml:space="preserve"> та Статутом Товариства</w:t>
      </w:r>
      <w:r w:rsidRPr="001266F9">
        <w:rPr>
          <w:lang w:val="uk-UA"/>
        </w:rPr>
        <w:t xml:space="preserve">, і досягненні пов'язаних із цими функціями цілей та не </w:t>
      </w:r>
      <w:r w:rsidR="00DC59C4">
        <w:rPr>
          <w:lang w:val="uk-UA"/>
        </w:rPr>
        <w:t xml:space="preserve">може </w:t>
      </w:r>
      <w:r w:rsidRPr="001266F9">
        <w:rPr>
          <w:lang w:val="uk-UA"/>
        </w:rPr>
        <w:t>бути пов'язаною чи залежати від досягнення Товариством позитивних показників діяльності</w:t>
      </w:r>
      <w:r w:rsidR="003E2BAF" w:rsidRPr="001266F9">
        <w:rPr>
          <w:lang w:val="uk-UA"/>
        </w:rPr>
        <w:t>.</w:t>
      </w:r>
    </w:p>
    <w:p w:rsidR="001266F9" w:rsidRPr="001266F9" w:rsidRDefault="001266F9" w:rsidP="001266F9">
      <w:pPr>
        <w:pStyle w:val="a7"/>
        <w:ind w:left="567"/>
        <w:contextualSpacing w:val="0"/>
        <w:jc w:val="both"/>
        <w:rPr>
          <w:lang w:val="uk-UA"/>
        </w:rPr>
      </w:pPr>
      <w:r w:rsidRPr="001266F9">
        <w:rPr>
          <w:lang w:val="uk-UA"/>
        </w:rPr>
        <w:t>Загальні збори Товариства мають право прийняте рішення про виплату змінної винагороди частково, відстрочення її виплати, скорочення/скасування її виплати (з урахуванням результатів діяльності, фінансового стану Товариства)</w:t>
      </w:r>
      <w:r w:rsidR="00DC59C4">
        <w:rPr>
          <w:lang w:val="uk-UA"/>
        </w:rPr>
        <w:t>.</w:t>
      </w:r>
    </w:p>
    <w:p w:rsidR="003E2BAF" w:rsidRPr="001266F9" w:rsidRDefault="001266F9" w:rsidP="00B1764F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Членам Наглядової ради може виплачуватись сума відшкодування витрат, понесених у зв’язку з виконанням обов’язків та/або інші компенсаційні виплати в порядку, передбаченому цим Положенням, іншими внутрішніми документами Товариства та чинним законодавством України</w:t>
      </w:r>
      <w:r w:rsidR="00486EB4" w:rsidRPr="001266F9">
        <w:rPr>
          <w:lang w:val="uk-UA"/>
        </w:rPr>
        <w:t>.</w:t>
      </w:r>
    </w:p>
    <w:p w:rsidR="00DC59C4" w:rsidRDefault="001266F9" w:rsidP="00B1764F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В Товаристві не здійснюється негрошове стимулювання членів Наглядової ради</w:t>
      </w:r>
      <w:r w:rsidR="00DC59C4">
        <w:rPr>
          <w:lang w:val="uk-UA"/>
        </w:rPr>
        <w:t>.</w:t>
      </w:r>
    </w:p>
    <w:p w:rsidR="00486EB4" w:rsidRDefault="00DC59C4" w:rsidP="00B1764F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>
        <w:rPr>
          <w:lang w:val="uk-UA"/>
        </w:rPr>
        <w:t xml:space="preserve">В Товаристві </w:t>
      </w:r>
      <w:r w:rsidR="001266F9" w:rsidRPr="001266F9">
        <w:rPr>
          <w:lang w:val="uk-UA"/>
        </w:rPr>
        <w:t>не запроваджена система додаткового пенсійного забезпечення або порядку виплати винагороди в разі дострокового виходу на пенсію членів Наглядової ради</w:t>
      </w:r>
      <w:r w:rsidR="0039707E" w:rsidRPr="001266F9">
        <w:rPr>
          <w:lang w:val="uk-UA"/>
        </w:rPr>
        <w:t>.</w:t>
      </w:r>
    </w:p>
    <w:p w:rsidR="00DC59C4" w:rsidRPr="001266F9" w:rsidRDefault="00DC59C4" w:rsidP="00DC59C4">
      <w:pPr>
        <w:pStyle w:val="a7"/>
        <w:ind w:left="567"/>
        <w:contextualSpacing w:val="0"/>
        <w:jc w:val="both"/>
        <w:rPr>
          <w:lang w:val="uk-UA"/>
        </w:rPr>
      </w:pPr>
    </w:p>
    <w:p w:rsidR="001266F9" w:rsidRPr="001266F9" w:rsidRDefault="0024491B" w:rsidP="001266F9">
      <w:pPr>
        <w:pStyle w:val="a7"/>
        <w:numPr>
          <w:ilvl w:val="0"/>
          <w:numId w:val="1"/>
        </w:numPr>
        <w:contextualSpacing w:val="0"/>
        <w:jc w:val="both"/>
        <w:rPr>
          <w:b/>
          <w:lang w:val="uk-UA"/>
        </w:rPr>
      </w:pPr>
      <w:r>
        <w:rPr>
          <w:b/>
          <w:iCs/>
          <w:szCs w:val="22"/>
          <w:lang w:val="uk-UA"/>
        </w:rPr>
        <w:t>ПОРЯДОК ВИПЛАТИ ВИНАГОРОДИ</w:t>
      </w:r>
    </w:p>
    <w:p w:rsidR="001266F9" w:rsidRPr="001266F9" w:rsidRDefault="001266F9" w:rsidP="001266F9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Винагорода виплачується в національній валюті України – гривні, шляхом безготівково перерахування грошових коштів на рахунок членів Наглядової ради, зазначений в реквізитах Договорів (або в окремому письмовому повідомленні (листі), поданому членом Наглядової ради).</w:t>
      </w:r>
    </w:p>
    <w:p w:rsidR="001266F9" w:rsidRPr="001266F9" w:rsidRDefault="001266F9" w:rsidP="001266F9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 xml:space="preserve">При здійсненні виплати грошової винагороди, Товариство із суми винагороди утримує та сплачує всі необхідні податки, збори, </w:t>
      </w:r>
      <w:r w:rsidRPr="001266F9">
        <w:rPr>
          <w:bCs/>
          <w:lang w:val="uk-UA"/>
        </w:rPr>
        <w:t>обов’язкові платежі (включаючи податки, збори та обов’язкові платежі, що підлягають сплаті фізичною особою – платником податків/зборів) відповідно до чинного законодавства України.</w:t>
      </w:r>
    </w:p>
    <w:p w:rsidR="001266F9" w:rsidRPr="001266F9" w:rsidRDefault="001266F9" w:rsidP="001266F9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lastRenderedPageBreak/>
        <w:t xml:space="preserve">У випадку дострокового припинення повноважень члена Наглядової ради, з яким укладено цивільно-правовий договір фіксована винагорода розраховується та виплачується </w:t>
      </w:r>
      <w:proofErr w:type="spellStart"/>
      <w:r w:rsidRPr="001266F9">
        <w:rPr>
          <w:lang w:val="uk-UA"/>
        </w:rPr>
        <w:t>пропорційно</w:t>
      </w:r>
      <w:proofErr w:type="spellEnd"/>
      <w:r w:rsidRPr="001266F9">
        <w:rPr>
          <w:lang w:val="uk-UA"/>
        </w:rPr>
        <w:t xml:space="preserve"> строку (кількості календарних днів), протягом якого член Наглядової ради виконував свої повноваження, у день припинення його повноважень.</w:t>
      </w:r>
    </w:p>
    <w:p w:rsidR="001266F9" w:rsidRPr="001266F9" w:rsidRDefault="001266F9" w:rsidP="001266F9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Виплата винагороди здійснюється Товариством у такому порядку:</w:t>
      </w:r>
    </w:p>
    <w:p w:rsidR="001266F9" w:rsidRPr="001266F9" w:rsidRDefault="001266F9" w:rsidP="001266F9">
      <w:pPr>
        <w:pStyle w:val="a7"/>
        <w:numPr>
          <w:ilvl w:val="2"/>
          <w:numId w:val="1"/>
        </w:numPr>
        <w:spacing w:before="0"/>
        <w:ind w:left="1418" w:hanging="851"/>
        <w:contextualSpacing w:val="0"/>
        <w:jc w:val="both"/>
        <w:rPr>
          <w:iCs/>
          <w:szCs w:val="22"/>
          <w:lang w:val="uk-UA"/>
        </w:rPr>
      </w:pPr>
      <w:r w:rsidRPr="001266F9">
        <w:rPr>
          <w:lang w:val="uk-UA"/>
        </w:rPr>
        <w:t>членам Наглядової ради, з якими укладено трудовий договір (контракт) – виплата фіксованої винагороди здійснюється в строки, визначені трудовим договором (контрактом);</w:t>
      </w:r>
    </w:p>
    <w:p w:rsidR="001266F9" w:rsidRPr="001266F9" w:rsidRDefault="001266F9" w:rsidP="001266F9">
      <w:pPr>
        <w:pStyle w:val="a7"/>
        <w:numPr>
          <w:ilvl w:val="2"/>
          <w:numId w:val="1"/>
        </w:numPr>
        <w:spacing w:before="0"/>
        <w:ind w:left="1418" w:hanging="851"/>
        <w:contextualSpacing w:val="0"/>
        <w:jc w:val="both"/>
        <w:rPr>
          <w:iCs/>
          <w:szCs w:val="22"/>
          <w:lang w:val="uk-UA"/>
        </w:rPr>
      </w:pPr>
      <w:r w:rsidRPr="001266F9">
        <w:rPr>
          <w:lang w:val="uk-UA"/>
        </w:rPr>
        <w:t>членам Наглядової ради, з якими укладено цивільно-правовий договір – у строки, визначені в цивільно-правовому договорі.</w:t>
      </w:r>
    </w:p>
    <w:p w:rsidR="001266F9" w:rsidRPr="001266F9" w:rsidRDefault="001266F9" w:rsidP="001266F9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Змінна винагорода, передбачена цим Положенням, виплачується членам Наглядової ради в порядку та строки, визначені рішенням Загальних зборів, з урахуванням вимог чинного законодавства України.</w:t>
      </w:r>
    </w:p>
    <w:p w:rsidR="001266F9" w:rsidRPr="001266F9" w:rsidRDefault="001266F9" w:rsidP="001266F9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lang w:val="uk-UA"/>
        </w:rPr>
      </w:pPr>
      <w:r w:rsidRPr="001266F9">
        <w:rPr>
          <w:lang w:val="uk-UA"/>
        </w:rPr>
        <w:t>У випадку дострокового припинення повноважень членів Наглядової ради з ініціативи Загальних зборів Товариства, Загальними зборами може бути прийнято рішення про здійснення виплат зі звільнення, компенсаційних та інших виплат членам Наглядової ради.</w:t>
      </w:r>
    </w:p>
    <w:p w:rsidR="00D979D6" w:rsidRPr="001266F9" w:rsidRDefault="005F0BCA" w:rsidP="00EE509F">
      <w:pPr>
        <w:pStyle w:val="a7"/>
        <w:numPr>
          <w:ilvl w:val="0"/>
          <w:numId w:val="1"/>
        </w:numPr>
        <w:contextualSpacing w:val="0"/>
        <w:jc w:val="both"/>
        <w:rPr>
          <w:b/>
          <w:lang w:val="uk-UA"/>
        </w:rPr>
      </w:pPr>
      <w:r w:rsidRPr="001266F9">
        <w:rPr>
          <w:b/>
          <w:iCs/>
          <w:szCs w:val="22"/>
          <w:lang w:val="uk-UA"/>
        </w:rPr>
        <w:t>ЗВІТ ПРО ВИНАГОРОДУ</w:t>
      </w:r>
    </w:p>
    <w:p w:rsidR="00D979D6" w:rsidRPr="001266F9" w:rsidRDefault="001266F9" w:rsidP="00715E88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noProof/>
          <w:lang w:val="uk-UA"/>
        </w:rPr>
      </w:pPr>
      <w:r w:rsidRPr="001266F9">
        <w:rPr>
          <w:lang w:val="uk-UA"/>
        </w:rPr>
        <w:t>За підсумками звітного року Наглядовою радою складається звіт про винагороду членів Наглядової ради, який виноситься для затвердження на Загальні збори акціонерів</w:t>
      </w:r>
      <w:r w:rsidR="001C2E66" w:rsidRPr="001266F9">
        <w:rPr>
          <w:noProof/>
          <w:lang w:val="uk-UA"/>
        </w:rPr>
        <w:t>.</w:t>
      </w:r>
    </w:p>
    <w:p w:rsidR="001C2E66" w:rsidRDefault="001266F9" w:rsidP="001C2E66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noProof/>
          <w:lang w:val="uk-UA"/>
        </w:rPr>
      </w:pPr>
      <w:r w:rsidRPr="001266F9">
        <w:rPr>
          <w:lang w:val="uk-UA"/>
        </w:rPr>
        <w:t>Звіт про винагороду членів Наглядової ради за своїм змістом має відповідати вимогам, встановленим чинним законодавством України</w:t>
      </w:r>
      <w:r w:rsidR="001C2E66" w:rsidRPr="001266F9">
        <w:rPr>
          <w:lang w:val="uk-UA"/>
        </w:rPr>
        <w:t>.</w:t>
      </w:r>
    </w:p>
    <w:p w:rsidR="00DC59C4" w:rsidRDefault="009C53AB" w:rsidP="001C2E66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noProof/>
          <w:lang w:val="uk-UA"/>
        </w:rPr>
      </w:pPr>
      <w:r>
        <w:rPr>
          <w:noProof/>
          <w:lang w:val="uk-UA"/>
        </w:rPr>
        <w:t>Звіт про винагороду членів Наглядової ради повинен містити інформацію щодо:</w:t>
      </w:r>
    </w:p>
    <w:p w:rsidR="009C53AB" w:rsidRDefault="009C53AB" w:rsidP="009C53AB">
      <w:pPr>
        <w:pStyle w:val="a7"/>
        <w:numPr>
          <w:ilvl w:val="2"/>
          <w:numId w:val="1"/>
        </w:numPr>
        <w:jc w:val="both"/>
        <w:rPr>
          <w:noProof/>
          <w:lang w:val="uk-UA"/>
        </w:rPr>
      </w:pPr>
      <w:r>
        <w:rPr>
          <w:noProof/>
          <w:lang w:val="uk-UA"/>
        </w:rPr>
        <w:t>сум винагороди, які були та/мають бути виплачені членам Наглядової ради за рузультатами звітного фінансового року (в розрізі фіксованих і змінних складових винагороди);</w:t>
      </w:r>
    </w:p>
    <w:p w:rsidR="009C53AB" w:rsidRDefault="009C53AB" w:rsidP="009C53AB">
      <w:pPr>
        <w:pStyle w:val="a7"/>
        <w:numPr>
          <w:ilvl w:val="2"/>
          <w:numId w:val="1"/>
        </w:numPr>
        <w:jc w:val="both"/>
        <w:rPr>
          <w:noProof/>
          <w:lang w:val="uk-UA"/>
        </w:rPr>
      </w:pPr>
      <w:r>
        <w:rPr>
          <w:noProof/>
          <w:lang w:val="uk-UA"/>
        </w:rPr>
        <w:t>строків фактичної виплати винагороди;</w:t>
      </w:r>
    </w:p>
    <w:p w:rsidR="009C53AB" w:rsidRDefault="009C53AB" w:rsidP="009C53AB">
      <w:pPr>
        <w:pStyle w:val="a7"/>
        <w:numPr>
          <w:ilvl w:val="2"/>
          <w:numId w:val="1"/>
        </w:numPr>
        <w:jc w:val="both"/>
        <w:rPr>
          <w:noProof/>
          <w:lang w:val="uk-UA"/>
        </w:rPr>
      </w:pPr>
      <w:r>
        <w:rPr>
          <w:noProof/>
          <w:lang w:val="uk-UA"/>
        </w:rPr>
        <w:t>повного опису структури всфх складових винагороди, які мають бути виплачени членам Наглядової ради;</w:t>
      </w:r>
    </w:p>
    <w:p w:rsidR="009C53AB" w:rsidRDefault="009C53AB" w:rsidP="009C53AB">
      <w:pPr>
        <w:pStyle w:val="a7"/>
        <w:numPr>
          <w:ilvl w:val="2"/>
          <w:numId w:val="1"/>
        </w:numPr>
        <w:jc w:val="both"/>
        <w:rPr>
          <w:noProof/>
          <w:lang w:val="uk-UA"/>
        </w:rPr>
      </w:pPr>
      <w:r>
        <w:rPr>
          <w:noProof/>
          <w:lang w:val="uk-UA"/>
        </w:rPr>
        <w:t>критеріїв оцінки ефективності (із зазначенням того, яким чином вони були досягнути), за результатами досягнення яких здійснено нарахування змінної винагороди (якщо змінна винагорода була нарахована);</w:t>
      </w:r>
    </w:p>
    <w:p w:rsidR="009C53AB" w:rsidRDefault="009C53AB" w:rsidP="009C53AB">
      <w:pPr>
        <w:pStyle w:val="a7"/>
        <w:numPr>
          <w:ilvl w:val="2"/>
          <w:numId w:val="1"/>
        </w:numPr>
        <w:jc w:val="both"/>
        <w:rPr>
          <w:noProof/>
          <w:lang w:val="uk-UA"/>
        </w:rPr>
      </w:pPr>
      <w:r>
        <w:rPr>
          <w:noProof/>
          <w:lang w:val="uk-UA"/>
        </w:rPr>
        <w:t>фактів використання Товариством права на повернення раніше виплаченої членам Наглядової ради винагороди;</w:t>
      </w:r>
    </w:p>
    <w:p w:rsidR="009C53AB" w:rsidRDefault="009C53AB" w:rsidP="009C53AB">
      <w:pPr>
        <w:pStyle w:val="a7"/>
        <w:numPr>
          <w:ilvl w:val="2"/>
          <w:numId w:val="1"/>
        </w:numPr>
        <w:jc w:val="both"/>
        <w:rPr>
          <w:noProof/>
          <w:lang w:val="uk-UA"/>
        </w:rPr>
      </w:pPr>
      <w:r>
        <w:rPr>
          <w:noProof/>
          <w:lang w:val="uk-UA"/>
        </w:rPr>
        <w:t>фактичної присутності члена Наглядової ради на засіданнях Наглядової ради та її комітетах (у разі їх створення), до складу яких такий член Наглядової ради входить, або причини його відсутності;</w:t>
      </w:r>
    </w:p>
    <w:p w:rsidR="009C53AB" w:rsidRDefault="009C53AB" w:rsidP="009C53AB">
      <w:pPr>
        <w:pStyle w:val="a7"/>
        <w:numPr>
          <w:ilvl w:val="2"/>
          <w:numId w:val="1"/>
        </w:numPr>
        <w:jc w:val="both"/>
        <w:rPr>
          <w:noProof/>
          <w:lang w:val="uk-UA"/>
        </w:rPr>
      </w:pPr>
      <w:r>
        <w:rPr>
          <w:noProof/>
          <w:lang w:val="uk-UA"/>
        </w:rPr>
        <w:t>підтверджених фактів неприйнятної повединки члена Наглядової ради (включаючи факти, повідомлені конфіденційним шляхом) і вжитих за результатами розслідування заходів за наявності впливу таких фактів/заходів на виплату витнагороди члену Наглядової ради;</w:t>
      </w:r>
    </w:p>
    <w:p w:rsidR="009C53AB" w:rsidRDefault="0095393A" w:rsidP="009C53AB">
      <w:pPr>
        <w:pStyle w:val="a7"/>
        <w:numPr>
          <w:ilvl w:val="2"/>
          <w:numId w:val="1"/>
        </w:numPr>
        <w:jc w:val="both"/>
        <w:rPr>
          <w:noProof/>
          <w:lang w:val="uk-UA"/>
        </w:rPr>
      </w:pPr>
      <w:r>
        <w:rPr>
          <w:noProof/>
          <w:lang w:val="uk-UA"/>
        </w:rPr>
        <w:t>наявності/відсутності обгрунтованих підстав щодо виплати/відстрочення/зменшення/повернення змінної винагороди члена Наглядової ради;</w:t>
      </w:r>
    </w:p>
    <w:p w:rsidR="0095393A" w:rsidRDefault="0095393A" w:rsidP="009C53AB">
      <w:pPr>
        <w:pStyle w:val="a7"/>
        <w:numPr>
          <w:ilvl w:val="2"/>
          <w:numId w:val="1"/>
        </w:numPr>
        <w:jc w:val="both"/>
        <w:rPr>
          <w:noProof/>
          <w:lang w:val="uk-UA"/>
        </w:rPr>
      </w:pPr>
      <w:r>
        <w:rPr>
          <w:noProof/>
          <w:lang w:val="uk-UA"/>
        </w:rPr>
        <w:t>відхилень сум фактичних виплат від сум, що підлягають виплаті згідно із Положенням, а також пояснення причин такого відхилення, якщо таки відхилення були протягом звітного року;</w:t>
      </w:r>
    </w:p>
    <w:p w:rsidR="0095393A" w:rsidRPr="009C53AB" w:rsidRDefault="0095393A" w:rsidP="009C53AB">
      <w:pPr>
        <w:pStyle w:val="a7"/>
        <w:numPr>
          <w:ilvl w:val="2"/>
          <w:numId w:val="1"/>
        </w:numPr>
        <w:jc w:val="both"/>
        <w:rPr>
          <w:noProof/>
          <w:lang w:val="uk-UA"/>
        </w:rPr>
      </w:pPr>
      <w:r>
        <w:rPr>
          <w:noProof/>
          <w:lang w:val="uk-UA"/>
        </w:rPr>
        <w:lastRenderedPageBreak/>
        <w:t>виявлення Товариством порушень умов Положення (якщо таки були) та застосованих за наслідками таких порушень заходів або прийнятих рішень.</w:t>
      </w:r>
    </w:p>
    <w:p w:rsidR="00D979D6" w:rsidRDefault="0095393A" w:rsidP="001C2E66">
      <w:pPr>
        <w:pStyle w:val="a7"/>
        <w:numPr>
          <w:ilvl w:val="1"/>
          <w:numId w:val="1"/>
        </w:numPr>
        <w:ind w:left="567" w:hanging="567"/>
        <w:contextualSpacing w:val="0"/>
        <w:jc w:val="both"/>
        <w:rPr>
          <w:noProof/>
          <w:lang w:val="uk-UA"/>
        </w:rPr>
      </w:pPr>
      <w:r>
        <w:rPr>
          <w:lang w:val="uk-UA"/>
        </w:rPr>
        <w:t>Загальні збори Товариства затверджують звіт про винагороду членів Наглядової ради Товариства за поданням Наглядової ради після його попереднього розгляду Наглядовою радою (якщо в Товаристві не створено комітет Наглядової ради з питань винагороди та призначень).</w:t>
      </w:r>
    </w:p>
    <w:p w:rsidR="0095393A" w:rsidRPr="001266F9" w:rsidRDefault="0095393A" w:rsidP="0095393A">
      <w:pPr>
        <w:pStyle w:val="a7"/>
        <w:ind w:left="567"/>
        <w:contextualSpacing w:val="0"/>
        <w:jc w:val="both"/>
        <w:rPr>
          <w:noProof/>
          <w:lang w:val="uk-UA"/>
        </w:rPr>
      </w:pPr>
    </w:p>
    <w:p w:rsidR="00DE632B" w:rsidRPr="001266F9" w:rsidRDefault="00D979D6" w:rsidP="00DE632B">
      <w:pPr>
        <w:pStyle w:val="a7"/>
        <w:numPr>
          <w:ilvl w:val="0"/>
          <w:numId w:val="1"/>
        </w:numPr>
        <w:contextualSpacing w:val="0"/>
        <w:jc w:val="both"/>
        <w:rPr>
          <w:noProof/>
          <w:lang w:val="uk-UA"/>
        </w:rPr>
      </w:pPr>
      <w:r w:rsidRPr="001266F9">
        <w:rPr>
          <w:b/>
          <w:noProof/>
          <w:lang w:val="uk-UA"/>
        </w:rPr>
        <w:t>ЗАКЛЮЧНІ ПОЛОЖЕННЯ</w:t>
      </w:r>
    </w:p>
    <w:p w:rsidR="005F452E" w:rsidRPr="001266F9" w:rsidRDefault="005F0BCA">
      <w:pPr>
        <w:pStyle w:val="a7"/>
        <w:widowControl w:val="0"/>
        <w:numPr>
          <w:ilvl w:val="1"/>
          <w:numId w:val="1"/>
        </w:numPr>
        <w:ind w:left="567" w:hanging="567"/>
        <w:contextualSpacing w:val="0"/>
        <w:jc w:val="both"/>
        <w:rPr>
          <w:rFonts w:eastAsia="Times New Roman"/>
          <w:lang w:val="uk-UA"/>
        </w:rPr>
      </w:pPr>
      <w:r w:rsidRPr="001266F9">
        <w:rPr>
          <w:iCs/>
          <w:szCs w:val="22"/>
          <w:lang w:val="uk-UA"/>
        </w:rPr>
        <w:t>Це Положення набирає чинності з дати його затвердження Загальними зборами акціонерів і діє безстроково до моменту втрати ним чинності</w:t>
      </w:r>
      <w:r w:rsidR="00E31FC8" w:rsidRPr="001266F9">
        <w:rPr>
          <w:rFonts w:eastAsia="Times New Roman"/>
          <w:lang w:val="uk-UA"/>
        </w:rPr>
        <w:t>.</w:t>
      </w:r>
    </w:p>
    <w:p w:rsidR="005F452E" w:rsidRPr="001266F9" w:rsidRDefault="005F0BCA">
      <w:pPr>
        <w:pStyle w:val="a7"/>
        <w:widowControl w:val="0"/>
        <w:numPr>
          <w:ilvl w:val="1"/>
          <w:numId w:val="1"/>
        </w:numPr>
        <w:ind w:left="567" w:hanging="567"/>
        <w:contextualSpacing w:val="0"/>
        <w:jc w:val="both"/>
        <w:rPr>
          <w:rFonts w:eastAsia="Times New Roman"/>
          <w:lang w:val="uk-UA"/>
        </w:rPr>
      </w:pPr>
      <w:r w:rsidRPr="001266F9">
        <w:rPr>
          <w:iCs/>
          <w:szCs w:val="22"/>
          <w:lang w:val="uk-UA"/>
        </w:rPr>
        <w:t>Положення підлягає періодичному перегляду Загальними зборами акціонерів. Питання щодо доцільності внесення змін до цього Положення розглядається Загальними зборами акціонерів. У разі наявності пропозиції щодо внесення змін до цього Положення, загальним зборам акціонерів надається опис запропонованих змін до цього Положення</w:t>
      </w:r>
      <w:r w:rsidR="00E31FC8" w:rsidRPr="001266F9">
        <w:rPr>
          <w:rFonts w:eastAsia="Times New Roman"/>
          <w:lang w:val="uk-UA"/>
        </w:rPr>
        <w:t>.</w:t>
      </w:r>
    </w:p>
    <w:p w:rsidR="005F0BCA" w:rsidRPr="001266F9" w:rsidRDefault="005F0BCA">
      <w:pPr>
        <w:pStyle w:val="a7"/>
        <w:widowControl w:val="0"/>
        <w:numPr>
          <w:ilvl w:val="1"/>
          <w:numId w:val="1"/>
        </w:numPr>
        <w:ind w:left="567" w:hanging="567"/>
        <w:contextualSpacing w:val="0"/>
        <w:jc w:val="both"/>
        <w:rPr>
          <w:rFonts w:eastAsia="Times New Roman"/>
          <w:lang w:val="uk-UA"/>
        </w:rPr>
      </w:pPr>
      <w:r w:rsidRPr="001266F9">
        <w:rPr>
          <w:iCs/>
          <w:szCs w:val="22"/>
          <w:lang w:val="uk-UA"/>
        </w:rPr>
        <w:t>Зміни та доповнення до цього Положення вносяться шляхом викладення Положення в новій редакції.</w:t>
      </w:r>
    </w:p>
    <w:p w:rsidR="005F452E" w:rsidRPr="001266F9" w:rsidRDefault="00E31FC8">
      <w:pPr>
        <w:pStyle w:val="a7"/>
        <w:widowControl w:val="0"/>
        <w:numPr>
          <w:ilvl w:val="1"/>
          <w:numId w:val="1"/>
        </w:numPr>
        <w:ind w:left="567" w:hanging="567"/>
        <w:contextualSpacing w:val="0"/>
        <w:jc w:val="both"/>
        <w:rPr>
          <w:rFonts w:eastAsia="Times New Roman"/>
          <w:lang w:val="uk-UA"/>
        </w:rPr>
      </w:pPr>
      <w:r w:rsidRPr="001266F9">
        <w:rPr>
          <w:rFonts w:eastAsia="Times New Roman"/>
          <w:lang w:val="uk-UA"/>
        </w:rPr>
        <w:t>У разі невідповідності будь-якої частини цього Положення чинному законодавству України або нормативно-правовим актам Національного банку України та/або Національної комісії з цінних паперів та фондового ринку, у тому числі у зв’язку з прийняттям нових актів законодавства України або нових нормативно-правових актів відповідних регуляторів, або Статуту Товариства, зареєстрованому в новій редакції, це Положення буде діяти лише в тій частині, яка не суперечитиме чинному законодавству України або нормативно-правовим актам відповідних регуляторів.</w:t>
      </w:r>
    </w:p>
    <w:p w:rsidR="004757DA" w:rsidRPr="001266F9" w:rsidRDefault="004757DA" w:rsidP="004757DA">
      <w:pPr>
        <w:pStyle w:val="a7"/>
        <w:ind w:left="709"/>
        <w:jc w:val="both"/>
        <w:rPr>
          <w:lang w:val="uk-UA"/>
        </w:rPr>
      </w:pPr>
    </w:p>
    <w:sectPr w:rsidR="004757DA" w:rsidRPr="001266F9" w:rsidSect="00F15ACA">
      <w:pgSz w:w="11906" w:h="16838"/>
      <w:pgMar w:top="1134" w:right="850" w:bottom="1658" w:left="1276" w:header="708" w:footer="9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4E6" w:rsidRDefault="00D804E6" w:rsidP="00D354EB">
      <w:pPr>
        <w:spacing w:before="0"/>
      </w:pPr>
      <w:r>
        <w:separator/>
      </w:r>
    </w:p>
  </w:endnote>
  <w:endnote w:type="continuationSeparator" w:id="0">
    <w:p w:rsidR="00D804E6" w:rsidRDefault="00D804E6" w:rsidP="00D354E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9D6" w:rsidRDefault="00D979D6">
    <w:pPr>
      <w:pStyle w:val="a5"/>
      <w:jc w:val="right"/>
    </w:pPr>
    <w:proofErr w:type="spellStart"/>
    <w:r>
      <w:rPr>
        <w:lang w:val="uk-UA"/>
      </w:rPr>
      <w:t>Стор</w:t>
    </w:r>
    <w:proofErr w:type="spellEnd"/>
    <w:r>
      <w:rPr>
        <w:lang w:val="uk-UA"/>
      </w:rPr>
      <w:t xml:space="preserve">. </w:t>
    </w:r>
    <w:r w:rsidR="005F452E">
      <w:rPr>
        <w:rStyle w:val="aa"/>
      </w:rPr>
      <w:fldChar w:fldCharType="begin"/>
    </w:r>
    <w:r>
      <w:rPr>
        <w:rStyle w:val="aa"/>
      </w:rPr>
      <w:instrText xml:space="preserve"> PAGE </w:instrText>
    </w:r>
    <w:r w:rsidR="005F452E">
      <w:rPr>
        <w:rStyle w:val="aa"/>
      </w:rPr>
      <w:fldChar w:fldCharType="separate"/>
    </w:r>
    <w:r w:rsidR="001266F9">
      <w:rPr>
        <w:rStyle w:val="aa"/>
        <w:noProof/>
      </w:rPr>
      <w:t>4</w:t>
    </w:r>
    <w:r w:rsidR="005F452E">
      <w:rPr>
        <w:rStyle w:val="aa"/>
      </w:rPr>
      <w:fldChar w:fldCharType="end"/>
    </w:r>
  </w:p>
  <w:p w:rsidR="00D979D6" w:rsidRDefault="00D979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9D6" w:rsidRPr="00E17230" w:rsidRDefault="00D979D6" w:rsidP="00753EEF">
    <w:pPr>
      <w:pStyle w:val="a5"/>
      <w:jc w:val="center"/>
      <w:rPr>
        <w:lang w:val="uk-UA"/>
      </w:rPr>
    </w:pPr>
    <w:r>
      <w:rPr>
        <w:lang w:val="uk-UA"/>
      </w:rPr>
      <w:t>Київ - 20</w:t>
    </w:r>
    <w:r w:rsidR="00553A72">
      <w:rPr>
        <w:lang w:val="uk-UA"/>
      </w:rPr>
      <w:t>2</w:t>
    </w:r>
    <w:r w:rsidR="00E17230">
      <w:rPr>
        <w:lang w:val="uk-UA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4E6" w:rsidRDefault="00D804E6" w:rsidP="00D354EB">
      <w:pPr>
        <w:spacing w:before="0"/>
      </w:pPr>
      <w:r>
        <w:separator/>
      </w:r>
    </w:p>
  </w:footnote>
  <w:footnote w:type="continuationSeparator" w:id="0">
    <w:p w:rsidR="00D804E6" w:rsidRDefault="00D804E6" w:rsidP="00D354E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9D6" w:rsidRPr="009C67C6" w:rsidRDefault="00D979D6" w:rsidP="00AB4A94">
    <w:pPr>
      <w:pStyle w:val="a3"/>
      <w:rPr>
        <w:i/>
        <w:smallCaps/>
        <w:color w:val="7A7A7A"/>
        <w:lang w:val="uk-UA"/>
      </w:rPr>
    </w:pPr>
    <w:r w:rsidRPr="009C67C6">
      <w:rPr>
        <w:i/>
        <w:smallCaps/>
        <w:color w:val="7A7A7A"/>
        <w:lang w:val="uk-UA"/>
      </w:rPr>
      <w:t xml:space="preserve">Положення про </w:t>
    </w:r>
    <w:r w:rsidR="00E17230">
      <w:rPr>
        <w:i/>
        <w:smallCaps/>
        <w:color w:val="7A7A7A"/>
        <w:lang w:val="uk-UA"/>
      </w:rPr>
      <w:t>винагороду Наглядової ради</w:t>
    </w:r>
    <w:r w:rsidRPr="00C11EDE">
      <w:rPr>
        <w:i/>
        <w:smallCaps/>
        <w:color w:val="7A7A7A"/>
        <w:lang w:val="uk-UA"/>
      </w:rPr>
      <w:t xml:space="preserve"> </w:t>
    </w:r>
    <w:r w:rsidRPr="009C67C6">
      <w:rPr>
        <w:i/>
        <w:smallCaps/>
        <w:color w:val="7A7A7A"/>
        <w:lang w:val="uk-UA"/>
      </w:rPr>
      <w:t>//</w:t>
    </w:r>
    <w:r w:rsidR="002B0397">
      <w:rPr>
        <w:i/>
        <w:smallCaps/>
        <w:color w:val="7A7A7A"/>
        <w:lang w:val="uk-UA"/>
      </w:rPr>
      <w:t xml:space="preserve"> </w:t>
    </w:r>
    <w:r w:rsidRPr="009C67C6">
      <w:rPr>
        <w:i/>
        <w:smallCaps/>
        <w:color w:val="7A7A7A"/>
        <w:lang w:val="uk-UA"/>
      </w:rPr>
      <w:t xml:space="preserve"> </w:t>
    </w:r>
    <w:r w:rsidRPr="00772E64">
      <w:rPr>
        <w:i/>
        <w:smallCaps/>
        <w:color w:val="7A7A7A"/>
        <w:lang w:val="uk-UA"/>
      </w:rPr>
      <w:t>ПрАТ «СГУ»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ACA" w:rsidRDefault="00F15ACA" w:rsidP="00F15ACA">
    <w:pPr>
      <w:pStyle w:val="a3"/>
      <w:ind w:left="-284" w:right="567" w:firstLine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25A6C"/>
    <w:multiLevelType w:val="multilevel"/>
    <w:tmpl w:val="62D4B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" w15:restartNumberingAfterBreak="0">
    <w:nsid w:val="10B0524F"/>
    <w:multiLevelType w:val="multilevel"/>
    <w:tmpl w:val="07689BF0"/>
    <w:lvl w:ilvl="0">
      <w:start w:val="1"/>
      <w:numFmt w:val="decimal"/>
      <w:lvlText w:val="Розділ 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34749DF"/>
    <w:multiLevelType w:val="singleLevel"/>
    <w:tmpl w:val="6AD83B2E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4263A6C"/>
    <w:multiLevelType w:val="multilevel"/>
    <w:tmpl w:val="E242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2E9D"/>
    <w:multiLevelType w:val="singleLevel"/>
    <w:tmpl w:val="152C9C3A"/>
    <w:lvl w:ilvl="0">
      <w:start w:val="3"/>
      <w:numFmt w:val="decimal"/>
      <w:lvlText w:val="4.1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6E93096"/>
    <w:multiLevelType w:val="hybridMultilevel"/>
    <w:tmpl w:val="E16EDB56"/>
    <w:lvl w:ilvl="0" w:tplc="BF28EC2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AEC5143"/>
    <w:multiLevelType w:val="multilevel"/>
    <w:tmpl w:val="CD2233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C9E6EE8"/>
    <w:multiLevelType w:val="multilevel"/>
    <w:tmpl w:val="1D686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3A0E68"/>
    <w:multiLevelType w:val="multilevel"/>
    <w:tmpl w:val="C8EEFE00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9" w15:restartNumberingAfterBreak="0">
    <w:nsid w:val="3C164644"/>
    <w:multiLevelType w:val="singleLevel"/>
    <w:tmpl w:val="B8B8FBB0"/>
    <w:lvl w:ilvl="0">
      <w:start w:val="1"/>
      <w:numFmt w:val="decimal"/>
      <w:lvlText w:val="4.1.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E49795B"/>
    <w:multiLevelType w:val="multilevel"/>
    <w:tmpl w:val="07689BF0"/>
    <w:lvl w:ilvl="0">
      <w:start w:val="1"/>
      <w:numFmt w:val="decimal"/>
      <w:lvlText w:val="Розділ %1."/>
      <w:lvlJc w:val="left"/>
      <w:pPr>
        <w:ind w:left="2771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203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3635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139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43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14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51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155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731" w:hanging="1440"/>
      </w:pPr>
      <w:rPr>
        <w:rFonts w:cs="Times New Roman"/>
      </w:rPr>
    </w:lvl>
  </w:abstractNum>
  <w:abstractNum w:abstractNumId="11" w15:restartNumberingAfterBreak="0">
    <w:nsid w:val="573C6045"/>
    <w:multiLevelType w:val="hybridMultilevel"/>
    <w:tmpl w:val="1E68CD12"/>
    <w:lvl w:ilvl="0" w:tplc="876E091E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B292D"/>
    <w:multiLevelType w:val="singleLevel"/>
    <w:tmpl w:val="AF3661DA"/>
    <w:lvl w:ilvl="0">
      <w:start w:val="4"/>
      <w:numFmt w:val="decimal"/>
      <w:lvlText w:val="2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5E13244"/>
    <w:multiLevelType w:val="multilevel"/>
    <w:tmpl w:val="07689BF0"/>
    <w:lvl w:ilvl="0">
      <w:start w:val="1"/>
      <w:numFmt w:val="decimal"/>
      <w:lvlText w:val="Розділ 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8723281"/>
    <w:multiLevelType w:val="multilevel"/>
    <w:tmpl w:val="903A6C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752222"/>
    <w:multiLevelType w:val="singleLevel"/>
    <w:tmpl w:val="7A08EA1C"/>
    <w:lvl w:ilvl="0">
      <w:start w:val="2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4"/>
  </w:num>
  <w:num w:numId="8">
    <w:abstractNumId w:val="15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6"/>
  </w:num>
  <w:num w:numId="14">
    <w:abstractNumId w:val="14"/>
  </w:num>
  <w:num w:numId="15">
    <w:abstractNumId w:val="7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A83"/>
    <w:rsid w:val="00001355"/>
    <w:rsid w:val="00003A33"/>
    <w:rsid w:val="00006AA1"/>
    <w:rsid w:val="00011CE4"/>
    <w:rsid w:val="00015728"/>
    <w:rsid w:val="00021EF6"/>
    <w:rsid w:val="00034BD2"/>
    <w:rsid w:val="00034EB0"/>
    <w:rsid w:val="000521CD"/>
    <w:rsid w:val="00061BCA"/>
    <w:rsid w:val="00062931"/>
    <w:rsid w:val="000703A8"/>
    <w:rsid w:val="00075D0A"/>
    <w:rsid w:val="00081013"/>
    <w:rsid w:val="0008330F"/>
    <w:rsid w:val="000856E4"/>
    <w:rsid w:val="00095811"/>
    <w:rsid w:val="0009774A"/>
    <w:rsid w:val="000A5FDE"/>
    <w:rsid w:val="000C5C4F"/>
    <w:rsid w:val="000D5969"/>
    <w:rsid w:val="000E0FF9"/>
    <w:rsid w:val="000E49CD"/>
    <w:rsid w:val="000E6C15"/>
    <w:rsid w:val="000E76A2"/>
    <w:rsid w:val="000F47DF"/>
    <w:rsid w:val="00101AEA"/>
    <w:rsid w:val="00102D48"/>
    <w:rsid w:val="00116B4C"/>
    <w:rsid w:val="001266F9"/>
    <w:rsid w:val="001403A6"/>
    <w:rsid w:val="00143D24"/>
    <w:rsid w:val="0016662F"/>
    <w:rsid w:val="00166B8A"/>
    <w:rsid w:val="0017452D"/>
    <w:rsid w:val="00174FA0"/>
    <w:rsid w:val="00185584"/>
    <w:rsid w:val="001A5369"/>
    <w:rsid w:val="001B1FAF"/>
    <w:rsid w:val="001B2B7F"/>
    <w:rsid w:val="001B7997"/>
    <w:rsid w:val="001C2E66"/>
    <w:rsid w:val="001C7EDC"/>
    <w:rsid w:val="001D1824"/>
    <w:rsid w:val="001E516D"/>
    <w:rsid w:val="001F597C"/>
    <w:rsid w:val="0020420D"/>
    <w:rsid w:val="00204892"/>
    <w:rsid w:val="00206B76"/>
    <w:rsid w:val="00211CF1"/>
    <w:rsid w:val="002122DB"/>
    <w:rsid w:val="00223591"/>
    <w:rsid w:val="00226941"/>
    <w:rsid w:val="002352FA"/>
    <w:rsid w:val="0024491B"/>
    <w:rsid w:val="00246A04"/>
    <w:rsid w:val="002471C9"/>
    <w:rsid w:val="002473E8"/>
    <w:rsid w:val="00250051"/>
    <w:rsid w:val="00255F3E"/>
    <w:rsid w:val="00260437"/>
    <w:rsid w:val="0026748D"/>
    <w:rsid w:val="00271483"/>
    <w:rsid w:val="00272293"/>
    <w:rsid w:val="00281319"/>
    <w:rsid w:val="00292887"/>
    <w:rsid w:val="00294CBF"/>
    <w:rsid w:val="00295698"/>
    <w:rsid w:val="00296F91"/>
    <w:rsid w:val="002A3D27"/>
    <w:rsid w:val="002B0397"/>
    <w:rsid w:val="002B1906"/>
    <w:rsid w:val="002B3627"/>
    <w:rsid w:val="002B4466"/>
    <w:rsid w:val="002C341C"/>
    <w:rsid w:val="002C4B4A"/>
    <w:rsid w:val="002C4E7C"/>
    <w:rsid w:val="002D537A"/>
    <w:rsid w:val="002D5DE1"/>
    <w:rsid w:val="002E677A"/>
    <w:rsid w:val="002F640D"/>
    <w:rsid w:val="002F6AB7"/>
    <w:rsid w:val="00300CCC"/>
    <w:rsid w:val="00301AEA"/>
    <w:rsid w:val="00301C2F"/>
    <w:rsid w:val="003035D5"/>
    <w:rsid w:val="00305A19"/>
    <w:rsid w:val="0030639C"/>
    <w:rsid w:val="00314973"/>
    <w:rsid w:val="00317FF9"/>
    <w:rsid w:val="00330742"/>
    <w:rsid w:val="0033612B"/>
    <w:rsid w:val="003403A9"/>
    <w:rsid w:val="00351805"/>
    <w:rsid w:val="00353EB1"/>
    <w:rsid w:val="0035490D"/>
    <w:rsid w:val="003551D0"/>
    <w:rsid w:val="0036798F"/>
    <w:rsid w:val="00367CE2"/>
    <w:rsid w:val="003726E1"/>
    <w:rsid w:val="00387525"/>
    <w:rsid w:val="00387C32"/>
    <w:rsid w:val="003941D6"/>
    <w:rsid w:val="0039707E"/>
    <w:rsid w:val="003A1794"/>
    <w:rsid w:val="003B0531"/>
    <w:rsid w:val="003B5A36"/>
    <w:rsid w:val="003B5D92"/>
    <w:rsid w:val="003B6E37"/>
    <w:rsid w:val="003C74F6"/>
    <w:rsid w:val="003D3939"/>
    <w:rsid w:val="003D67B4"/>
    <w:rsid w:val="003D67B7"/>
    <w:rsid w:val="003E2BAF"/>
    <w:rsid w:val="003E42C4"/>
    <w:rsid w:val="003E4887"/>
    <w:rsid w:val="00400B29"/>
    <w:rsid w:val="00402068"/>
    <w:rsid w:val="004020E4"/>
    <w:rsid w:val="00402BE2"/>
    <w:rsid w:val="00405C18"/>
    <w:rsid w:val="004070EE"/>
    <w:rsid w:val="004139F0"/>
    <w:rsid w:val="00413D15"/>
    <w:rsid w:val="00422D4C"/>
    <w:rsid w:val="00423EC7"/>
    <w:rsid w:val="004314B5"/>
    <w:rsid w:val="00436C77"/>
    <w:rsid w:val="00441EC7"/>
    <w:rsid w:val="004446E4"/>
    <w:rsid w:val="00444F3D"/>
    <w:rsid w:val="00456CC7"/>
    <w:rsid w:val="00457C5F"/>
    <w:rsid w:val="0046379B"/>
    <w:rsid w:val="00467974"/>
    <w:rsid w:val="00473ACA"/>
    <w:rsid w:val="004757DA"/>
    <w:rsid w:val="00477F8D"/>
    <w:rsid w:val="00486EB4"/>
    <w:rsid w:val="004874E4"/>
    <w:rsid w:val="0048760B"/>
    <w:rsid w:val="00487EBF"/>
    <w:rsid w:val="0049409C"/>
    <w:rsid w:val="00496D45"/>
    <w:rsid w:val="004A1599"/>
    <w:rsid w:val="004A2C2A"/>
    <w:rsid w:val="004C4A13"/>
    <w:rsid w:val="004C7012"/>
    <w:rsid w:val="004C7665"/>
    <w:rsid w:val="004D2B0D"/>
    <w:rsid w:val="004E6748"/>
    <w:rsid w:val="004E6989"/>
    <w:rsid w:val="004F5436"/>
    <w:rsid w:val="004F590F"/>
    <w:rsid w:val="00501769"/>
    <w:rsid w:val="005025B6"/>
    <w:rsid w:val="00502CBF"/>
    <w:rsid w:val="00503648"/>
    <w:rsid w:val="005103AD"/>
    <w:rsid w:val="00511B6C"/>
    <w:rsid w:val="00513148"/>
    <w:rsid w:val="005132AD"/>
    <w:rsid w:val="005137DC"/>
    <w:rsid w:val="005176BF"/>
    <w:rsid w:val="00537F57"/>
    <w:rsid w:val="00540CE4"/>
    <w:rsid w:val="005433B9"/>
    <w:rsid w:val="00553A72"/>
    <w:rsid w:val="005562B0"/>
    <w:rsid w:val="005622C2"/>
    <w:rsid w:val="00576172"/>
    <w:rsid w:val="005817EC"/>
    <w:rsid w:val="00581969"/>
    <w:rsid w:val="00593F39"/>
    <w:rsid w:val="00597F04"/>
    <w:rsid w:val="005A6357"/>
    <w:rsid w:val="005B396F"/>
    <w:rsid w:val="005B6671"/>
    <w:rsid w:val="005C30FD"/>
    <w:rsid w:val="005D291F"/>
    <w:rsid w:val="005D3D06"/>
    <w:rsid w:val="005E4503"/>
    <w:rsid w:val="005E450F"/>
    <w:rsid w:val="005E7344"/>
    <w:rsid w:val="005E7A6D"/>
    <w:rsid w:val="005F0BCA"/>
    <w:rsid w:val="005F1A83"/>
    <w:rsid w:val="005F452E"/>
    <w:rsid w:val="005F5094"/>
    <w:rsid w:val="006001D5"/>
    <w:rsid w:val="00601C4B"/>
    <w:rsid w:val="00605E5F"/>
    <w:rsid w:val="00612D0D"/>
    <w:rsid w:val="00613D31"/>
    <w:rsid w:val="0062331F"/>
    <w:rsid w:val="006233C4"/>
    <w:rsid w:val="00624FE0"/>
    <w:rsid w:val="00640D38"/>
    <w:rsid w:val="00645A53"/>
    <w:rsid w:val="006514D6"/>
    <w:rsid w:val="00657233"/>
    <w:rsid w:val="00660F58"/>
    <w:rsid w:val="00667F9E"/>
    <w:rsid w:val="00682A14"/>
    <w:rsid w:val="00683532"/>
    <w:rsid w:val="0068459C"/>
    <w:rsid w:val="00690371"/>
    <w:rsid w:val="00690CA6"/>
    <w:rsid w:val="0069699B"/>
    <w:rsid w:val="006A264C"/>
    <w:rsid w:val="006A39AB"/>
    <w:rsid w:val="006C612F"/>
    <w:rsid w:val="006D1396"/>
    <w:rsid w:val="006D5291"/>
    <w:rsid w:val="006D5627"/>
    <w:rsid w:val="006E1C5B"/>
    <w:rsid w:val="006E3C12"/>
    <w:rsid w:val="006F2CAC"/>
    <w:rsid w:val="006F4C86"/>
    <w:rsid w:val="006F51F1"/>
    <w:rsid w:val="00705BE6"/>
    <w:rsid w:val="00715461"/>
    <w:rsid w:val="00715E88"/>
    <w:rsid w:val="007172D3"/>
    <w:rsid w:val="00734065"/>
    <w:rsid w:val="007359AC"/>
    <w:rsid w:val="00741CE3"/>
    <w:rsid w:val="00743710"/>
    <w:rsid w:val="007445DC"/>
    <w:rsid w:val="00746F28"/>
    <w:rsid w:val="00750262"/>
    <w:rsid w:val="00753EEF"/>
    <w:rsid w:val="00754C5E"/>
    <w:rsid w:val="00763115"/>
    <w:rsid w:val="00765445"/>
    <w:rsid w:val="00765F7F"/>
    <w:rsid w:val="00772E64"/>
    <w:rsid w:val="00782DEF"/>
    <w:rsid w:val="00794C29"/>
    <w:rsid w:val="007A263A"/>
    <w:rsid w:val="007A42DA"/>
    <w:rsid w:val="007A45E9"/>
    <w:rsid w:val="007A6392"/>
    <w:rsid w:val="007B74E6"/>
    <w:rsid w:val="007B7CFC"/>
    <w:rsid w:val="007C195A"/>
    <w:rsid w:val="007D5F42"/>
    <w:rsid w:val="007D7512"/>
    <w:rsid w:val="007E2F33"/>
    <w:rsid w:val="007E31B8"/>
    <w:rsid w:val="007F6BE6"/>
    <w:rsid w:val="00802017"/>
    <w:rsid w:val="00803FF1"/>
    <w:rsid w:val="008072AF"/>
    <w:rsid w:val="00812BEF"/>
    <w:rsid w:val="00816AC7"/>
    <w:rsid w:val="00821552"/>
    <w:rsid w:val="00822990"/>
    <w:rsid w:val="00823336"/>
    <w:rsid w:val="00824507"/>
    <w:rsid w:val="00831DDB"/>
    <w:rsid w:val="00840B81"/>
    <w:rsid w:val="00840BC6"/>
    <w:rsid w:val="0085183A"/>
    <w:rsid w:val="0085201F"/>
    <w:rsid w:val="008539AE"/>
    <w:rsid w:val="00857368"/>
    <w:rsid w:val="00861A2D"/>
    <w:rsid w:val="00863105"/>
    <w:rsid w:val="00864673"/>
    <w:rsid w:val="00884E7E"/>
    <w:rsid w:val="00890F47"/>
    <w:rsid w:val="0089188E"/>
    <w:rsid w:val="0089341A"/>
    <w:rsid w:val="00896B4B"/>
    <w:rsid w:val="008A2C20"/>
    <w:rsid w:val="008B04E9"/>
    <w:rsid w:val="008B4296"/>
    <w:rsid w:val="008B52A2"/>
    <w:rsid w:val="008B6E59"/>
    <w:rsid w:val="008C6D6D"/>
    <w:rsid w:val="008C7E3E"/>
    <w:rsid w:val="008D2D0C"/>
    <w:rsid w:val="008D42C8"/>
    <w:rsid w:val="008D7F99"/>
    <w:rsid w:val="008E188B"/>
    <w:rsid w:val="008E441D"/>
    <w:rsid w:val="008E444B"/>
    <w:rsid w:val="008E5B28"/>
    <w:rsid w:val="009069BF"/>
    <w:rsid w:val="00907246"/>
    <w:rsid w:val="00914DBA"/>
    <w:rsid w:val="009177BB"/>
    <w:rsid w:val="009222E4"/>
    <w:rsid w:val="00933FAF"/>
    <w:rsid w:val="00942E5F"/>
    <w:rsid w:val="00950301"/>
    <w:rsid w:val="0095362C"/>
    <w:rsid w:val="0095393A"/>
    <w:rsid w:val="00956234"/>
    <w:rsid w:val="00956A4D"/>
    <w:rsid w:val="00957217"/>
    <w:rsid w:val="00967AE4"/>
    <w:rsid w:val="009736C6"/>
    <w:rsid w:val="00974532"/>
    <w:rsid w:val="00975702"/>
    <w:rsid w:val="00975D52"/>
    <w:rsid w:val="0098448E"/>
    <w:rsid w:val="00985F31"/>
    <w:rsid w:val="009955A1"/>
    <w:rsid w:val="009973B5"/>
    <w:rsid w:val="009A62C9"/>
    <w:rsid w:val="009B2885"/>
    <w:rsid w:val="009C53AB"/>
    <w:rsid w:val="009C67C6"/>
    <w:rsid w:val="009D0D86"/>
    <w:rsid w:val="009D4293"/>
    <w:rsid w:val="009D48FF"/>
    <w:rsid w:val="009D6E7A"/>
    <w:rsid w:val="009E2032"/>
    <w:rsid w:val="009E4072"/>
    <w:rsid w:val="009F3D9B"/>
    <w:rsid w:val="009F45D1"/>
    <w:rsid w:val="00A03646"/>
    <w:rsid w:val="00A06152"/>
    <w:rsid w:val="00A06467"/>
    <w:rsid w:val="00A20834"/>
    <w:rsid w:val="00A210D1"/>
    <w:rsid w:val="00A21370"/>
    <w:rsid w:val="00A23FF8"/>
    <w:rsid w:val="00A350D2"/>
    <w:rsid w:val="00A54B56"/>
    <w:rsid w:val="00A55BA0"/>
    <w:rsid w:val="00A57A00"/>
    <w:rsid w:val="00A61C8D"/>
    <w:rsid w:val="00A62C19"/>
    <w:rsid w:val="00A67CA1"/>
    <w:rsid w:val="00A7408C"/>
    <w:rsid w:val="00A834EF"/>
    <w:rsid w:val="00A8416C"/>
    <w:rsid w:val="00A90EC1"/>
    <w:rsid w:val="00A90F1C"/>
    <w:rsid w:val="00A92F2E"/>
    <w:rsid w:val="00A95CE8"/>
    <w:rsid w:val="00AA38AE"/>
    <w:rsid w:val="00AA52F8"/>
    <w:rsid w:val="00AB4A94"/>
    <w:rsid w:val="00AB6DBE"/>
    <w:rsid w:val="00AB73AE"/>
    <w:rsid w:val="00AC5E4E"/>
    <w:rsid w:val="00AD515A"/>
    <w:rsid w:val="00AE521D"/>
    <w:rsid w:val="00AF595C"/>
    <w:rsid w:val="00AF630E"/>
    <w:rsid w:val="00AF7490"/>
    <w:rsid w:val="00B01328"/>
    <w:rsid w:val="00B0558F"/>
    <w:rsid w:val="00B059BE"/>
    <w:rsid w:val="00B1764F"/>
    <w:rsid w:val="00B2181F"/>
    <w:rsid w:val="00B2560B"/>
    <w:rsid w:val="00B2572B"/>
    <w:rsid w:val="00B33C0D"/>
    <w:rsid w:val="00B3458B"/>
    <w:rsid w:val="00B34D5D"/>
    <w:rsid w:val="00B3507B"/>
    <w:rsid w:val="00B36EA3"/>
    <w:rsid w:val="00B37165"/>
    <w:rsid w:val="00B42DB5"/>
    <w:rsid w:val="00B51080"/>
    <w:rsid w:val="00B55CF7"/>
    <w:rsid w:val="00B617A8"/>
    <w:rsid w:val="00B61B68"/>
    <w:rsid w:val="00B6515F"/>
    <w:rsid w:val="00B67CC6"/>
    <w:rsid w:val="00B74878"/>
    <w:rsid w:val="00B74952"/>
    <w:rsid w:val="00B75739"/>
    <w:rsid w:val="00B83DE1"/>
    <w:rsid w:val="00B83ECA"/>
    <w:rsid w:val="00B90363"/>
    <w:rsid w:val="00BB3FD0"/>
    <w:rsid w:val="00BC027D"/>
    <w:rsid w:val="00BC27AF"/>
    <w:rsid w:val="00BC4339"/>
    <w:rsid w:val="00BC7B86"/>
    <w:rsid w:val="00BD29B1"/>
    <w:rsid w:val="00BD3EDC"/>
    <w:rsid w:val="00BD3FBD"/>
    <w:rsid w:val="00BE54F8"/>
    <w:rsid w:val="00BE56C3"/>
    <w:rsid w:val="00BE60BE"/>
    <w:rsid w:val="00BF2D4B"/>
    <w:rsid w:val="00BF7ED1"/>
    <w:rsid w:val="00C04B8F"/>
    <w:rsid w:val="00C06998"/>
    <w:rsid w:val="00C074CD"/>
    <w:rsid w:val="00C0785E"/>
    <w:rsid w:val="00C11C32"/>
    <w:rsid w:val="00C11EDE"/>
    <w:rsid w:val="00C13F11"/>
    <w:rsid w:val="00C15764"/>
    <w:rsid w:val="00C221AE"/>
    <w:rsid w:val="00C25E17"/>
    <w:rsid w:val="00C33895"/>
    <w:rsid w:val="00C37632"/>
    <w:rsid w:val="00C47A89"/>
    <w:rsid w:val="00C524F5"/>
    <w:rsid w:val="00C57521"/>
    <w:rsid w:val="00C65EAF"/>
    <w:rsid w:val="00C70010"/>
    <w:rsid w:val="00C713E3"/>
    <w:rsid w:val="00C76D03"/>
    <w:rsid w:val="00C8102C"/>
    <w:rsid w:val="00C90037"/>
    <w:rsid w:val="00CA4CC7"/>
    <w:rsid w:val="00CA774C"/>
    <w:rsid w:val="00CA77A4"/>
    <w:rsid w:val="00CB00AF"/>
    <w:rsid w:val="00CB4228"/>
    <w:rsid w:val="00CB7880"/>
    <w:rsid w:val="00CC78A5"/>
    <w:rsid w:val="00CD2B41"/>
    <w:rsid w:val="00CE2AB1"/>
    <w:rsid w:val="00CF01D4"/>
    <w:rsid w:val="00CF32C0"/>
    <w:rsid w:val="00D00BCE"/>
    <w:rsid w:val="00D036C6"/>
    <w:rsid w:val="00D13400"/>
    <w:rsid w:val="00D13AC3"/>
    <w:rsid w:val="00D13E19"/>
    <w:rsid w:val="00D16327"/>
    <w:rsid w:val="00D22610"/>
    <w:rsid w:val="00D228AF"/>
    <w:rsid w:val="00D25A74"/>
    <w:rsid w:val="00D32557"/>
    <w:rsid w:val="00D354EB"/>
    <w:rsid w:val="00D4409F"/>
    <w:rsid w:val="00D44B6A"/>
    <w:rsid w:val="00D47DF3"/>
    <w:rsid w:val="00D53310"/>
    <w:rsid w:val="00D55571"/>
    <w:rsid w:val="00D5693B"/>
    <w:rsid w:val="00D5765E"/>
    <w:rsid w:val="00D60422"/>
    <w:rsid w:val="00D612E9"/>
    <w:rsid w:val="00D61FB2"/>
    <w:rsid w:val="00D76D3D"/>
    <w:rsid w:val="00D804E6"/>
    <w:rsid w:val="00D81146"/>
    <w:rsid w:val="00D901CD"/>
    <w:rsid w:val="00D913AB"/>
    <w:rsid w:val="00D95BAB"/>
    <w:rsid w:val="00D963F6"/>
    <w:rsid w:val="00D979D6"/>
    <w:rsid w:val="00DA2429"/>
    <w:rsid w:val="00DA4CED"/>
    <w:rsid w:val="00DB051F"/>
    <w:rsid w:val="00DB7476"/>
    <w:rsid w:val="00DB7D73"/>
    <w:rsid w:val="00DC0073"/>
    <w:rsid w:val="00DC59C4"/>
    <w:rsid w:val="00DD4A76"/>
    <w:rsid w:val="00DD66B4"/>
    <w:rsid w:val="00DE4D58"/>
    <w:rsid w:val="00DE60C2"/>
    <w:rsid w:val="00DE632B"/>
    <w:rsid w:val="00DF27B6"/>
    <w:rsid w:val="00DF6F38"/>
    <w:rsid w:val="00E000B5"/>
    <w:rsid w:val="00E005A6"/>
    <w:rsid w:val="00E017FD"/>
    <w:rsid w:val="00E027A6"/>
    <w:rsid w:val="00E05843"/>
    <w:rsid w:val="00E07578"/>
    <w:rsid w:val="00E0784E"/>
    <w:rsid w:val="00E17230"/>
    <w:rsid w:val="00E1746D"/>
    <w:rsid w:val="00E204F8"/>
    <w:rsid w:val="00E31041"/>
    <w:rsid w:val="00E31FC8"/>
    <w:rsid w:val="00E4079F"/>
    <w:rsid w:val="00E40BA1"/>
    <w:rsid w:val="00E50FBA"/>
    <w:rsid w:val="00E52E74"/>
    <w:rsid w:val="00E55BDC"/>
    <w:rsid w:val="00E61F77"/>
    <w:rsid w:val="00E65B28"/>
    <w:rsid w:val="00E67676"/>
    <w:rsid w:val="00E77472"/>
    <w:rsid w:val="00E84378"/>
    <w:rsid w:val="00E84B8E"/>
    <w:rsid w:val="00E93F74"/>
    <w:rsid w:val="00EA1CC3"/>
    <w:rsid w:val="00EA7709"/>
    <w:rsid w:val="00EB59C3"/>
    <w:rsid w:val="00EB6CD7"/>
    <w:rsid w:val="00EC584A"/>
    <w:rsid w:val="00EC5F00"/>
    <w:rsid w:val="00EC61B9"/>
    <w:rsid w:val="00EC63AF"/>
    <w:rsid w:val="00ED0184"/>
    <w:rsid w:val="00EE19FA"/>
    <w:rsid w:val="00EE4C0E"/>
    <w:rsid w:val="00EE509F"/>
    <w:rsid w:val="00EE5851"/>
    <w:rsid w:val="00EE5D90"/>
    <w:rsid w:val="00EE7DB1"/>
    <w:rsid w:val="00EF71EF"/>
    <w:rsid w:val="00F03835"/>
    <w:rsid w:val="00F0427F"/>
    <w:rsid w:val="00F0606A"/>
    <w:rsid w:val="00F06A8F"/>
    <w:rsid w:val="00F10F75"/>
    <w:rsid w:val="00F119B1"/>
    <w:rsid w:val="00F15ACA"/>
    <w:rsid w:val="00F16131"/>
    <w:rsid w:val="00F20CB6"/>
    <w:rsid w:val="00F2325D"/>
    <w:rsid w:val="00F30CF2"/>
    <w:rsid w:val="00F46993"/>
    <w:rsid w:val="00F527B3"/>
    <w:rsid w:val="00F53AC2"/>
    <w:rsid w:val="00F644D6"/>
    <w:rsid w:val="00F75E62"/>
    <w:rsid w:val="00F857F9"/>
    <w:rsid w:val="00F85A3F"/>
    <w:rsid w:val="00F911BA"/>
    <w:rsid w:val="00F936EE"/>
    <w:rsid w:val="00FA4F78"/>
    <w:rsid w:val="00FB3034"/>
    <w:rsid w:val="00FC2657"/>
    <w:rsid w:val="00FC407B"/>
    <w:rsid w:val="00FC5C08"/>
    <w:rsid w:val="00FC64FA"/>
    <w:rsid w:val="00FE4A8C"/>
    <w:rsid w:val="00FE6357"/>
    <w:rsid w:val="00FE655E"/>
    <w:rsid w:val="00FE7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5:docId w15:val="{8337718A-6CF9-D948-9568-72DFDE76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60C2"/>
    <w:pPr>
      <w:spacing w:before="12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54EB"/>
    <w:pPr>
      <w:tabs>
        <w:tab w:val="center" w:pos="4677"/>
        <w:tab w:val="right" w:pos="9355"/>
      </w:tabs>
      <w:spacing w:before="0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354EB"/>
    <w:rPr>
      <w:rFonts w:cs="Times New Roman"/>
    </w:rPr>
  </w:style>
  <w:style w:type="paragraph" w:styleId="a5">
    <w:name w:val="footer"/>
    <w:basedOn w:val="a"/>
    <w:link w:val="a6"/>
    <w:uiPriority w:val="99"/>
    <w:rsid w:val="00D354EB"/>
    <w:pPr>
      <w:tabs>
        <w:tab w:val="center" w:pos="4677"/>
        <w:tab w:val="right" w:pos="9355"/>
      </w:tabs>
      <w:spacing w:before="0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D354EB"/>
    <w:rPr>
      <w:rFonts w:cs="Times New Roman"/>
    </w:rPr>
  </w:style>
  <w:style w:type="paragraph" w:styleId="a7">
    <w:name w:val="List Paragraph"/>
    <w:basedOn w:val="a"/>
    <w:uiPriority w:val="99"/>
    <w:qFormat/>
    <w:rsid w:val="00861A2D"/>
    <w:pPr>
      <w:ind w:left="720"/>
      <w:contextualSpacing/>
    </w:pPr>
  </w:style>
  <w:style w:type="paragraph" w:styleId="a8">
    <w:name w:val="Body Text Indent"/>
    <w:basedOn w:val="a"/>
    <w:link w:val="a9"/>
    <w:uiPriority w:val="99"/>
    <w:rsid w:val="00593F39"/>
    <w:pPr>
      <w:spacing w:before="0" w:line="220" w:lineRule="auto"/>
      <w:ind w:left="4560"/>
    </w:pPr>
    <w:rPr>
      <w:rFonts w:eastAsia="Times New Roman"/>
      <w:b/>
      <w:color w:val="000000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593F39"/>
    <w:rPr>
      <w:rFonts w:eastAsia="Times New Roman" w:cs="Times New Roman"/>
      <w:b/>
      <w:color w:val="000000"/>
      <w:sz w:val="20"/>
      <w:lang w:eastAsia="ru-RU"/>
    </w:rPr>
  </w:style>
  <w:style w:type="character" w:styleId="aa">
    <w:name w:val="page number"/>
    <w:basedOn w:val="a0"/>
    <w:uiPriority w:val="99"/>
    <w:rsid w:val="00593F39"/>
    <w:rPr>
      <w:rFonts w:cs="Times New Roman"/>
    </w:rPr>
  </w:style>
  <w:style w:type="paragraph" w:styleId="ab">
    <w:name w:val="Body Text"/>
    <w:basedOn w:val="a"/>
    <w:link w:val="ac"/>
    <w:uiPriority w:val="99"/>
    <w:rsid w:val="00593F39"/>
    <w:pPr>
      <w:spacing w:before="200" w:line="220" w:lineRule="auto"/>
      <w:jc w:val="both"/>
    </w:pPr>
    <w:rPr>
      <w:rFonts w:eastAsia="Times New Roman"/>
      <w:sz w:val="20"/>
      <w:szCs w:val="20"/>
      <w:lang w:val="uk-UA" w:eastAsia="ru-RU"/>
    </w:rPr>
  </w:style>
  <w:style w:type="character" w:customStyle="1" w:styleId="ac">
    <w:name w:val="Основной текст Знак"/>
    <w:basedOn w:val="a0"/>
    <w:link w:val="ab"/>
    <w:uiPriority w:val="99"/>
    <w:locked/>
    <w:rsid w:val="00593F39"/>
    <w:rPr>
      <w:rFonts w:eastAsia="Times New Roman" w:cs="Times New Roman"/>
      <w:sz w:val="20"/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715461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5461"/>
    <w:rPr>
      <w:rFonts w:ascii="Tahoma" w:hAnsi="Tahoma" w:cs="Tahoma"/>
      <w:sz w:val="16"/>
      <w:szCs w:val="16"/>
      <w:lang w:eastAsia="en-US"/>
    </w:rPr>
  </w:style>
  <w:style w:type="paragraph" w:customStyle="1" w:styleId="af">
    <w:name w:val="ДинТекстОбыч"/>
    <w:basedOn w:val="a"/>
    <w:rsid w:val="00DE632B"/>
    <w:pPr>
      <w:widowControl w:val="0"/>
      <w:suppressAutoHyphens/>
      <w:spacing w:before="0"/>
      <w:ind w:firstLine="708"/>
      <w:jc w:val="both"/>
    </w:pPr>
    <w:rPr>
      <w:rFonts w:eastAsia="Times New Roman" w:cs="Calibri"/>
      <w:color w:val="000000"/>
      <w:lang w:val="uk-UA" w:eastAsia="ar-SA"/>
    </w:rPr>
  </w:style>
  <w:style w:type="character" w:customStyle="1" w:styleId="10pt">
    <w:name w:val="Основной текст + 10 pt"/>
    <w:rsid w:val="001266F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uk-UA"/>
    </w:rPr>
  </w:style>
  <w:style w:type="character" w:customStyle="1" w:styleId="10pt0">
    <w:name w:val="Основной текст + 10 pt;Полужирный"/>
    <w:rsid w:val="001266F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uk-UA"/>
    </w:rPr>
  </w:style>
  <w:style w:type="character" w:customStyle="1" w:styleId="rvts0">
    <w:name w:val="rvts0"/>
    <w:basedOn w:val="a0"/>
    <w:rsid w:val="00126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10858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Anna Gnyp</dc:creator>
  <cp:keywords/>
  <dc:description/>
  <cp:lastModifiedBy>Microsoft Office User</cp:lastModifiedBy>
  <cp:revision>5</cp:revision>
  <cp:lastPrinted>2024-02-21T12:05:00Z</cp:lastPrinted>
  <dcterms:created xsi:type="dcterms:W3CDTF">2024-02-08T17:17:00Z</dcterms:created>
  <dcterms:modified xsi:type="dcterms:W3CDTF">2024-02-21T12:09:00Z</dcterms:modified>
</cp:coreProperties>
</file>