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C54354"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ТИТУЛЬНИЙ АРКУШ</w:t>
      </w:r>
    </w:p>
    <w:p w14:paraId="7FB4D237"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000000" w14:paraId="0BBA3C8C"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56F18CFA"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30.04.2025</w:t>
            </w:r>
          </w:p>
        </w:tc>
      </w:tr>
      <w:tr w:rsidR="00000000" w14:paraId="6F611362" w14:textId="77777777">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14:paraId="02B185A7"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 реєстрації емітентом електронного документа)</w:t>
            </w:r>
          </w:p>
        </w:tc>
      </w:tr>
      <w:tr w:rsidR="00000000" w14:paraId="5A1D34F9"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7A318DE3"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0430/5/25</w:t>
            </w:r>
          </w:p>
        </w:tc>
      </w:tr>
      <w:tr w:rsidR="00000000" w14:paraId="0F011BB1" w14:textId="77777777">
        <w:tblPrEx>
          <w:tblCellMar>
            <w:top w:w="0" w:type="dxa"/>
            <w:bottom w:w="0" w:type="dxa"/>
          </w:tblCellMar>
        </w:tblPrEx>
        <w:trPr>
          <w:trHeight w:val="300"/>
        </w:trPr>
        <w:tc>
          <w:tcPr>
            <w:tcW w:w="5230" w:type="dxa"/>
            <w:tcBorders>
              <w:top w:val="nil"/>
              <w:left w:val="nil"/>
              <w:bottom w:val="nil"/>
              <w:right w:val="nil"/>
            </w:tcBorders>
            <w:vAlign w:val="bottom"/>
          </w:tcPr>
          <w:p w14:paraId="2D8629DF"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(вихідний реєстраційний номер електронного документа)</w:t>
            </w:r>
          </w:p>
        </w:tc>
      </w:tr>
    </w:tbl>
    <w:p w14:paraId="38901A4F" w14:textId="77777777" w:rsidR="00000000" w:rsidRDefault="00000000">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kern w:val="0"/>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000000" w14:paraId="513C2689" w14:textId="77777777">
        <w:tblPrEx>
          <w:tblCellMar>
            <w:top w:w="0" w:type="dxa"/>
            <w:bottom w:w="0" w:type="dxa"/>
          </w:tblCellMar>
        </w:tblPrEx>
        <w:trPr>
          <w:trHeight w:val="300"/>
        </w:trPr>
        <w:tc>
          <w:tcPr>
            <w:tcW w:w="10465" w:type="dxa"/>
            <w:tcBorders>
              <w:top w:val="nil"/>
              <w:left w:val="nil"/>
              <w:bottom w:val="nil"/>
              <w:right w:val="nil"/>
            </w:tcBorders>
            <w:vAlign w:val="bottom"/>
          </w:tcPr>
          <w:p w14:paraId="0B4E2DB5"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0B9F2EF0"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000000" w14:paraId="5D5EAD17" w14:textId="77777777">
        <w:tblPrEx>
          <w:tblCellMar>
            <w:top w:w="0" w:type="dxa"/>
            <w:bottom w:w="0" w:type="dxa"/>
          </w:tblCellMar>
        </w:tblPrEx>
        <w:trPr>
          <w:trHeight w:val="200"/>
        </w:trPr>
        <w:tc>
          <w:tcPr>
            <w:tcW w:w="3415" w:type="dxa"/>
            <w:tcBorders>
              <w:top w:val="nil"/>
              <w:left w:val="nil"/>
              <w:bottom w:val="single" w:sz="6" w:space="0" w:color="auto"/>
              <w:right w:val="nil"/>
            </w:tcBorders>
            <w:vAlign w:val="bottom"/>
          </w:tcPr>
          <w:p w14:paraId="74D86681"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Голова правління</w:t>
            </w:r>
          </w:p>
        </w:tc>
        <w:tc>
          <w:tcPr>
            <w:tcW w:w="216" w:type="dxa"/>
            <w:tcBorders>
              <w:top w:val="nil"/>
              <w:left w:val="nil"/>
              <w:bottom w:val="nil"/>
              <w:right w:val="nil"/>
            </w:tcBorders>
          </w:tcPr>
          <w:p w14:paraId="2CE16158"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p>
        </w:tc>
        <w:tc>
          <w:tcPr>
            <w:tcW w:w="3334" w:type="dxa"/>
            <w:tcBorders>
              <w:top w:val="nil"/>
              <w:left w:val="nil"/>
              <w:bottom w:val="single" w:sz="6" w:space="0" w:color="auto"/>
              <w:right w:val="nil"/>
            </w:tcBorders>
            <w:vAlign w:val="bottom"/>
          </w:tcPr>
          <w:p w14:paraId="5D6037D2"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p>
        </w:tc>
        <w:tc>
          <w:tcPr>
            <w:tcW w:w="216" w:type="dxa"/>
            <w:tcBorders>
              <w:top w:val="nil"/>
              <w:left w:val="nil"/>
              <w:bottom w:val="nil"/>
              <w:right w:val="nil"/>
            </w:tcBorders>
          </w:tcPr>
          <w:p w14:paraId="4F4A5EBC"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p>
        </w:tc>
        <w:tc>
          <w:tcPr>
            <w:tcW w:w="3284" w:type="dxa"/>
            <w:tcBorders>
              <w:top w:val="nil"/>
              <w:left w:val="nil"/>
              <w:bottom w:val="single" w:sz="6" w:space="0" w:color="auto"/>
              <w:right w:val="nil"/>
            </w:tcBorders>
            <w:vAlign w:val="bottom"/>
          </w:tcPr>
          <w:p w14:paraId="73213E44"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Гусєва І.О.</w:t>
            </w:r>
          </w:p>
        </w:tc>
      </w:tr>
      <w:tr w:rsidR="00000000" w14:paraId="299910AB" w14:textId="77777777">
        <w:tblPrEx>
          <w:tblCellMar>
            <w:top w:w="0" w:type="dxa"/>
            <w:bottom w:w="0" w:type="dxa"/>
          </w:tblCellMar>
        </w:tblPrEx>
        <w:trPr>
          <w:trHeight w:val="200"/>
        </w:trPr>
        <w:tc>
          <w:tcPr>
            <w:tcW w:w="3415" w:type="dxa"/>
            <w:tcBorders>
              <w:top w:val="nil"/>
              <w:left w:val="nil"/>
              <w:bottom w:val="nil"/>
              <w:right w:val="nil"/>
            </w:tcBorders>
          </w:tcPr>
          <w:p w14:paraId="142324E6"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(посада)</w:t>
            </w:r>
          </w:p>
        </w:tc>
        <w:tc>
          <w:tcPr>
            <w:tcW w:w="216" w:type="dxa"/>
            <w:tcBorders>
              <w:top w:val="nil"/>
              <w:left w:val="nil"/>
              <w:bottom w:val="nil"/>
              <w:right w:val="nil"/>
            </w:tcBorders>
          </w:tcPr>
          <w:p w14:paraId="234B415B"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334" w:type="dxa"/>
            <w:tcBorders>
              <w:top w:val="nil"/>
              <w:left w:val="nil"/>
              <w:bottom w:val="nil"/>
              <w:right w:val="nil"/>
            </w:tcBorders>
          </w:tcPr>
          <w:p w14:paraId="19170392"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22F0C4C5"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284" w:type="dxa"/>
            <w:tcBorders>
              <w:top w:val="nil"/>
              <w:left w:val="nil"/>
              <w:bottom w:val="nil"/>
              <w:right w:val="nil"/>
            </w:tcBorders>
          </w:tcPr>
          <w:p w14:paraId="09B96D0C"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(прізвище та ініціали керівника або уповноваженої особи емітента)</w:t>
            </w:r>
          </w:p>
        </w:tc>
      </w:tr>
    </w:tbl>
    <w:p w14:paraId="70214982" w14:textId="77777777" w:rsidR="00000000" w:rsidRDefault="00000000">
      <w:pPr>
        <w:widowControl w:val="0"/>
        <w:autoSpaceDE w:val="0"/>
        <w:autoSpaceDN w:val="0"/>
        <w:adjustRightInd w:val="0"/>
        <w:spacing w:after="0" w:line="240" w:lineRule="auto"/>
        <w:rPr>
          <w:rFonts w:ascii="Times New Roman" w:hAnsi="Times New Roman" w:cs="Times New Roman"/>
          <w:kern w:val="0"/>
          <w:sz w:val="20"/>
          <w:szCs w:val="20"/>
        </w:rPr>
      </w:pPr>
    </w:p>
    <w:p w14:paraId="480DF4D1"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t>Особлива інформація / інформація про іпотечні цінні папери/ сертифікати фонду операцій з нерухомістю емітента</w:t>
      </w:r>
    </w:p>
    <w:p w14:paraId="5A75C1AD" w14:textId="77777777" w:rsidR="00000000" w:rsidRDefault="00000000">
      <w:pPr>
        <w:widowControl w:val="0"/>
        <w:autoSpaceDE w:val="0"/>
        <w:autoSpaceDN w:val="0"/>
        <w:adjustRightInd w:val="0"/>
        <w:spacing w:after="0" w:line="240" w:lineRule="auto"/>
        <w:rPr>
          <w:rFonts w:ascii="Times New Roman" w:hAnsi="Times New Roman" w:cs="Times New Roman"/>
          <w:b/>
          <w:bCs/>
          <w:kern w:val="0"/>
          <w:sz w:val="28"/>
          <w:szCs w:val="28"/>
        </w:rPr>
      </w:pPr>
    </w:p>
    <w:p w14:paraId="7293FC2F"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b/>
          <w:bCs/>
          <w:kern w:val="0"/>
        </w:rPr>
        <w:t>І. Загальні відомості</w:t>
      </w:r>
    </w:p>
    <w:p w14:paraId="323E9E52"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1. Повне найменування: Приватне акціонерне товариство "Страхові гарантії України"</w:t>
      </w:r>
    </w:p>
    <w:p w14:paraId="274C8463"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2. Організаційно-правова форма: Акціонерне товариство</w:t>
      </w:r>
    </w:p>
    <w:p w14:paraId="3D7F8037" w14:textId="73F1AE3D"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 xml:space="preserve">3. Місцезнаходження: 03115, </w:t>
      </w:r>
      <w:proofErr w:type="spellStart"/>
      <w:r>
        <w:rPr>
          <w:rFonts w:ascii="Times New Roman" w:hAnsi="Times New Roman" w:cs="Times New Roman"/>
          <w:kern w:val="0"/>
        </w:rPr>
        <w:t>м.Київ</w:t>
      </w:r>
      <w:proofErr w:type="spellEnd"/>
      <w:r>
        <w:rPr>
          <w:rFonts w:ascii="Times New Roman" w:hAnsi="Times New Roman" w:cs="Times New Roman"/>
          <w:kern w:val="0"/>
        </w:rPr>
        <w:t xml:space="preserve">, </w:t>
      </w:r>
      <w:proofErr w:type="spellStart"/>
      <w:r>
        <w:rPr>
          <w:rFonts w:ascii="Times New Roman" w:hAnsi="Times New Roman" w:cs="Times New Roman"/>
          <w:kern w:val="0"/>
        </w:rPr>
        <w:t>вул.Львівська</w:t>
      </w:r>
      <w:proofErr w:type="spellEnd"/>
      <w:r>
        <w:rPr>
          <w:rFonts w:ascii="Times New Roman" w:hAnsi="Times New Roman" w:cs="Times New Roman"/>
          <w:kern w:val="0"/>
        </w:rPr>
        <w:t>, 22</w:t>
      </w:r>
    </w:p>
    <w:p w14:paraId="5F6684F0"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4. Ідентифікаційний код юридичної особи: 33832772</w:t>
      </w:r>
    </w:p>
    <w:p w14:paraId="7B06C58C"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5. Міжміський код та номер телефону: 044 5370387</w:t>
      </w:r>
    </w:p>
    <w:p w14:paraId="4DD58E4F"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6. Адреса електронної пошти, яка є офіційним каналом зв’язку: sgu@sgu.com.ua</w:t>
      </w:r>
    </w:p>
    <w:p w14:paraId="14C14FAF"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 xml:space="preserve">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 </w:t>
      </w:r>
    </w:p>
    <w:p w14:paraId="571A9E07"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14:paraId="332D47E3"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6B2BA508"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rPr>
      </w:pPr>
      <w:r>
        <w:rPr>
          <w:rFonts w:ascii="Times New Roman" w:hAnsi="Times New Roman" w:cs="Times New Roman"/>
          <w:b/>
          <w:bCs/>
          <w:kern w:val="0"/>
        </w:rPr>
        <w:t xml:space="preserve">ІІ. Дані про дату та місце оприлюднення інформації </w:t>
      </w:r>
    </w:p>
    <w:p w14:paraId="04670E62"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000000" w14:paraId="6AA87040" w14:textId="77777777">
        <w:tblPrEx>
          <w:tblCellMar>
            <w:top w:w="0" w:type="dxa"/>
            <w:bottom w:w="0" w:type="dxa"/>
          </w:tblCellMar>
        </w:tblPrEx>
        <w:trPr>
          <w:trHeight w:val="300"/>
        </w:trPr>
        <w:tc>
          <w:tcPr>
            <w:tcW w:w="3415" w:type="dxa"/>
            <w:vMerge w:val="restart"/>
            <w:tcBorders>
              <w:top w:val="nil"/>
              <w:left w:val="nil"/>
              <w:bottom w:val="nil"/>
              <w:right w:val="nil"/>
            </w:tcBorders>
          </w:tcPr>
          <w:p w14:paraId="009F7D6D"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14:paraId="019B7E71"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http://www.sgu.com.ua/stakeholder.html</w:t>
            </w:r>
          </w:p>
        </w:tc>
        <w:tc>
          <w:tcPr>
            <w:tcW w:w="1885" w:type="dxa"/>
            <w:tcBorders>
              <w:top w:val="nil"/>
              <w:left w:val="nil"/>
              <w:bottom w:val="single" w:sz="6" w:space="0" w:color="auto"/>
              <w:right w:val="nil"/>
            </w:tcBorders>
            <w:vAlign w:val="bottom"/>
          </w:tcPr>
          <w:p w14:paraId="454E5F3D"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30.04.2025</w:t>
            </w:r>
          </w:p>
        </w:tc>
      </w:tr>
      <w:tr w:rsidR="00000000" w14:paraId="23829295" w14:textId="77777777">
        <w:tblPrEx>
          <w:tblCellMar>
            <w:top w:w="0" w:type="dxa"/>
            <w:bottom w:w="0" w:type="dxa"/>
          </w:tblCellMar>
        </w:tblPrEx>
        <w:trPr>
          <w:trHeight w:val="300"/>
        </w:trPr>
        <w:tc>
          <w:tcPr>
            <w:tcW w:w="3415" w:type="dxa"/>
            <w:vMerge/>
            <w:tcBorders>
              <w:top w:val="nil"/>
              <w:left w:val="nil"/>
              <w:bottom w:val="nil"/>
              <w:right w:val="nil"/>
            </w:tcBorders>
          </w:tcPr>
          <w:p w14:paraId="5AE7249C" w14:textId="77777777" w:rsidR="00000000" w:rsidRDefault="00000000">
            <w:pPr>
              <w:widowControl w:val="0"/>
              <w:autoSpaceDE w:val="0"/>
              <w:autoSpaceDN w:val="0"/>
              <w:adjustRightInd w:val="0"/>
              <w:spacing w:after="0" w:line="240" w:lineRule="auto"/>
              <w:rPr>
                <w:rFonts w:ascii="Times New Roman" w:hAnsi="Times New Roman" w:cs="Times New Roman"/>
                <w:kern w:val="0"/>
                <w:sz w:val="20"/>
                <w:szCs w:val="20"/>
              </w:rPr>
            </w:pPr>
          </w:p>
        </w:tc>
        <w:tc>
          <w:tcPr>
            <w:tcW w:w="5165" w:type="dxa"/>
            <w:tcBorders>
              <w:top w:val="nil"/>
              <w:left w:val="nil"/>
              <w:bottom w:val="nil"/>
              <w:right w:val="nil"/>
            </w:tcBorders>
            <w:vAlign w:val="bottom"/>
          </w:tcPr>
          <w:p w14:paraId="70745AF2"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(URL-адреса вебсайту)</w:t>
            </w:r>
          </w:p>
        </w:tc>
        <w:tc>
          <w:tcPr>
            <w:tcW w:w="1885" w:type="dxa"/>
            <w:tcBorders>
              <w:top w:val="nil"/>
              <w:left w:val="nil"/>
              <w:bottom w:val="nil"/>
              <w:right w:val="nil"/>
            </w:tcBorders>
            <w:vAlign w:val="bottom"/>
          </w:tcPr>
          <w:p w14:paraId="3AD1F3CB"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w:t>
            </w:r>
          </w:p>
        </w:tc>
      </w:tr>
    </w:tbl>
    <w:p w14:paraId="633E1DD1" w14:textId="77777777" w:rsidR="00000000" w:rsidRDefault="00000000">
      <w:pPr>
        <w:widowControl w:val="0"/>
        <w:autoSpaceDE w:val="0"/>
        <w:autoSpaceDN w:val="0"/>
        <w:adjustRightInd w:val="0"/>
        <w:spacing w:after="0" w:line="240" w:lineRule="auto"/>
        <w:rPr>
          <w:rFonts w:ascii="Times New Roman" w:hAnsi="Times New Roman" w:cs="Times New Roman"/>
          <w:kern w:val="0"/>
          <w:sz w:val="20"/>
          <w:szCs w:val="20"/>
        </w:rPr>
        <w:sectPr w:rsidR="00000000">
          <w:footerReference w:type="default" r:id="rId6"/>
          <w:pgSz w:w="11905" w:h="16837"/>
          <w:pgMar w:top="570" w:right="720" w:bottom="570" w:left="720" w:header="708" w:footer="360" w:gutter="0"/>
          <w:pgNumType w:start="1"/>
          <w:cols w:space="720"/>
          <w:noEndnote/>
        </w:sectPr>
      </w:pPr>
    </w:p>
    <w:p w14:paraId="610AC3E6"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lastRenderedPageBreak/>
        <w:t>ВІДОМОСТІ</w:t>
      </w:r>
    </w:p>
    <w:p w14:paraId="750A3AC0"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про прийняття рішення про попереднє надання згоди на вчинення значних правочинів</w:t>
      </w:r>
    </w:p>
    <w:p w14:paraId="247CBCAE"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1300"/>
        <w:gridCol w:w="2500"/>
        <w:gridCol w:w="2500"/>
        <w:gridCol w:w="3665"/>
      </w:tblGrid>
      <w:tr w:rsidR="00000000" w14:paraId="142369C3"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05F2C76"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 з/п</w:t>
            </w:r>
          </w:p>
        </w:tc>
        <w:tc>
          <w:tcPr>
            <w:tcW w:w="1300" w:type="dxa"/>
            <w:tcBorders>
              <w:top w:val="single" w:sz="6" w:space="0" w:color="auto"/>
              <w:left w:val="single" w:sz="6" w:space="0" w:color="auto"/>
              <w:bottom w:val="single" w:sz="6" w:space="0" w:color="auto"/>
              <w:right w:val="single" w:sz="6" w:space="0" w:color="auto"/>
            </w:tcBorders>
            <w:vAlign w:val="center"/>
          </w:tcPr>
          <w:p w14:paraId="3E398F1F"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Дата прийняття рішення</w:t>
            </w:r>
          </w:p>
        </w:tc>
        <w:tc>
          <w:tcPr>
            <w:tcW w:w="2500" w:type="dxa"/>
            <w:tcBorders>
              <w:top w:val="single" w:sz="6" w:space="0" w:color="auto"/>
              <w:left w:val="single" w:sz="6" w:space="0" w:color="auto"/>
              <w:bottom w:val="single" w:sz="6" w:space="0" w:color="auto"/>
              <w:right w:val="single" w:sz="6" w:space="0" w:color="auto"/>
            </w:tcBorders>
            <w:vAlign w:val="center"/>
          </w:tcPr>
          <w:p w14:paraId="41347373"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 xml:space="preserve">Гранична сукупна вартість правочинів, </w:t>
            </w:r>
            <w:proofErr w:type="spellStart"/>
            <w:r>
              <w:rPr>
                <w:rFonts w:ascii="Times New Roman" w:hAnsi="Times New Roman" w:cs="Times New Roman"/>
                <w:b/>
                <w:bCs/>
                <w:kern w:val="0"/>
                <w:sz w:val="20"/>
                <w:szCs w:val="20"/>
              </w:rPr>
              <w:t>тис.грн</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143DDECB"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 xml:space="preserve">Вартість активів емітента за даними останньої річної фінансової звітності, </w:t>
            </w:r>
            <w:proofErr w:type="spellStart"/>
            <w:r>
              <w:rPr>
                <w:rFonts w:ascii="Times New Roman" w:hAnsi="Times New Roman" w:cs="Times New Roman"/>
                <w:b/>
                <w:bCs/>
                <w:kern w:val="0"/>
                <w:sz w:val="20"/>
                <w:szCs w:val="20"/>
              </w:rPr>
              <w:t>тис.грн</w:t>
            </w:r>
            <w:proofErr w:type="spellEnd"/>
          </w:p>
        </w:tc>
        <w:tc>
          <w:tcPr>
            <w:tcW w:w="3665" w:type="dxa"/>
            <w:tcBorders>
              <w:top w:val="single" w:sz="6" w:space="0" w:color="auto"/>
              <w:left w:val="single" w:sz="6" w:space="0" w:color="auto"/>
              <w:bottom w:val="single" w:sz="6" w:space="0" w:color="auto"/>
            </w:tcBorders>
            <w:vAlign w:val="center"/>
          </w:tcPr>
          <w:p w14:paraId="2498C752"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b/>
                <w:bCs/>
                <w:kern w:val="0"/>
                <w:sz w:val="20"/>
                <w:szCs w:val="20"/>
              </w:rPr>
              <w:t>Співвідношення граничної сукупної вартості правочинів до вартості активів емітента за даними останньої річної фінансової звітності (у відсотках)</w:t>
            </w:r>
          </w:p>
        </w:tc>
      </w:tr>
      <w:tr w:rsidR="00000000" w14:paraId="60D245D1"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D9D1091"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300" w:type="dxa"/>
            <w:tcBorders>
              <w:top w:val="single" w:sz="6" w:space="0" w:color="auto"/>
              <w:left w:val="single" w:sz="6" w:space="0" w:color="auto"/>
              <w:bottom w:val="single" w:sz="6" w:space="0" w:color="auto"/>
              <w:right w:val="single" w:sz="6" w:space="0" w:color="auto"/>
            </w:tcBorders>
            <w:vAlign w:val="center"/>
          </w:tcPr>
          <w:p w14:paraId="7D916363"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2500" w:type="dxa"/>
            <w:tcBorders>
              <w:top w:val="single" w:sz="6" w:space="0" w:color="auto"/>
              <w:left w:val="single" w:sz="6" w:space="0" w:color="auto"/>
              <w:bottom w:val="single" w:sz="6" w:space="0" w:color="auto"/>
              <w:right w:val="single" w:sz="6" w:space="0" w:color="auto"/>
            </w:tcBorders>
            <w:vAlign w:val="center"/>
          </w:tcPr>
          <w:p w14:paraId="4D9ECF90"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3</w:t>
            </w:r>
          </w:p>
        </w:tc>
        <w:tc>
          <w:tcPr>
            <w:tcW w:w="2500" w:type="dxa"/>
            <w:tcBorders>
              <w:top w:val="single" w:sz="6" w:space="0" w:color="auto"/>
              <w:left w:val="single" w:sz="6" w:space="0" w:color="auto"/>
              <w:bottom w:val="single" w:sz="6" w:space="0" w:color="auto"/>
              <w:right w:val="single" w:sz="6" w:space="0" w:color="auto"/>
            </w:tcBorders>
            <w:vAlign w:val="center"/>
          </w:tcPr>
          <w:p w14:paraId="608DB83A"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3665" w:type="dxa"/>
            <w:tcBorders>
              <w:top w:val="single" w:sz="6" w:space="0" w:color="auto"/>
              <w:left w:val="single" w:sz="6" w:space="0" w:color="auto"/>
              <w:bottom w:val="single" w:sz="6" w:space="0" w:color="auto"/>
            </w:tcBorders>
            <w:vAlign w:val="center"/>
          </w:tcPr>
          <w:p w14:paraId="37E17F02"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5</w:t>
            </w:r>
          </w:p>
        </w:tc>
      </w:tr>
      <w:tr w:rsidR="00000000" w14:paraId="39B5CFE3"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tcPr>
          <w:p w14:paraId="7DCD57CF"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300" w:type="dxa"/>
            <w:tcBorders>
              <w:top w:val="single" w:sz="6" w:space="0" w:color="auto"/>
              <w:left w:val="single" w:sz="6" w:space="0" w:color="auto"/>
              <w:bottom w:val="single" w:sz="6" w:space="0" w:color="auto"/>
              <w:right w:val="single" w:sz="6" w:space="0" w:color="auto"/>
            </w:tcBorders>
          </w:tcPr>
          <w:p w14:paraId="49AEAE30"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29.04.2025</w:t>
            </w:r>
          </w:p>
        </w:tc>
        <w:tc>
          <w:tcPr>
            <w:tcW w:w="2500" w:type="dxa"/>
            <w:tcBorders>
              <w:top w:val="single" w:sz="6" w:space="0" w:color="auto"/>
              <w:left w:val="single" w:sz="6" w:space="0" w:color="auto"/>
              <w:bottom w:val="single" w:sz="6" w:space="0" w:color="auto"/>
              <w:right w:val="single" w:sz="6" w:space="0" w:color="auto"/>
            </w:tcBorders>
          </w:tcPr>
          <w:p w14:paraId="4D5D495E"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60 000</w:t>
            </w:r>
          </w:p>
        </w:tc>
        <w:tc>
          <w:tcPr>
            <w:tcW w:w="2500" w:type="dxa"/>
            <w:tcBorders>
              <w:top w:val="single" w:sz="6" w:space="0" w:color="auto"/>
              <w:left w:val="single" w:sz="6" w:space="0" w:color="auto"/>
              <w:bottom w:val="single" w:sz="6" w:space="0" w:color="auto"/>
              <w:right w:val="single" w:sz="6" w:space="0" w:color="auto"/>
            </w:tcBorders>
          </w:tcPr>
          <w:p w14:paraId="0ED48480"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56 275</w:t>
            </w:r>
          </w:p>
        </w:tc>
        <w:tc>
          <w:tcPr>
            <w:tcW w:w="3665" w:type="dxa"/>
            <w:tcBorders>
              <w:top w:val="single" w:sz="6" w:space="0" w:color="auto"/>
              <w:left w:val="single" w:sz="6" w:space="0" w:color="auto"/>
              <w:bottom w:val="single" w:sz="6" w:space="0" w:color="auto"/>
            </w:tcBorders>
          </w:tcPr>
          <w:p w14:paraId="09EBE4D1"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106,62</w:t>
            </w:r>
          </w:p>
        </w:tc>
      </w:tr>
      <w:tr w:rsidR="00000000" w14:paraId="6907C1A1"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0EF50684" w14:textId="77777777" w:rsidR="00000000" w:rsidRDefault="00000000">
            <w:pPr>
              <w:widowControl w:val="0"/>
              <w:autoSpaceDE w:val="0"/>
              <w:autoSpaceDN w:val="0"/>
              <w:adjustRightInd w:val="0"/>
              <w:spacing w:after="0" w:line="240" w:lineRule="auto"/>
              <w:rPr>
                <w:rFonts w:ascii="Times New Roman" w:hAnsi="Times New Roman" w:cs="Times New Roman"/>
                <w:b/>
                <w:bCs/>
                <w:kern w:val="0"/>
                <w:sz w:val="20"/>
                <w:szCs w:val="20"/>
              </w:rPr>
            </w:pPr>
            <w:r>
              <w:rPr>
                <w:rFonts w:ascii="Times New Roman" w:hAnsi="Times New Roman" w:cs="Times New Roman"/>
                <w:b/>
                <w:bCs/>
                <w:kern w:val="0"/>
                <w:sz w:val="20"/>
                <w:szCs w:val="20"/>
              </w:rPr>
              <w:t>Зміст інформації:</w:t>
            </w:r>
          </w:p>
        </w:tc>
      </w:tr>
      <w:tr w:rsidR="00000000" w14:paraId="6945134D"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699C28DC"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Дата прийняття рішення загальними зборами приватного акціонерного товариства рішення про попереднє надання згоди на вчинення значних правочинів: 29.04.2025.</w:t>
            </w:r>
          </w:p>
          <w:p w14:paraId="26D864ED"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Характер правочинів: правочини щодо страхування, перестрахування, розміщення та/або закриття депозитних рахунків/вкладів, відчуження та/або придбання майна, цінних паперів.</w:t>
            </w:r>
          </w:p>
          <w:p w14:paraId="56A4AC3E"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Гранична сукупна вартість правочинів: 60 000,00 тис. грн.</w:t>
            </w:r>
          </w:p>
          <w:p w14:paraId="06709FB1"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Вартість активів емітента за даними останньої річної фінансової звітності: 56 275,00 тис. грн.</w:t>
            </w:r>
          </w:p>
          <w:p w14:paraId="29AB029F"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Співвідношення граничної сукупної вартості правочинів до вартості активів емітента за даними останньої річної фінансової звітності: 106,62%.</w:t>
            </w:r>
          </w:p>
          <w:p w14:paraId="209065E1"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Загальна кількість голосуючих акцій – 10 000, кількість голосуючих акцій, що зареєстровані для участі у загальних зборах – 10 000, кількість голосуючих акцій, що проголосували "за" прийняття рішення - 10 000, кількість голосуючих акцій, що проголосували "проти" прийняття рішення: 0.</w:t>
            </w:r>
          </w:p>
          <w:p w14:paraId="5EA13397" w14:textId="77777777" w:rsidR="00000000"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Додаткова інформація, яка необхідна для повного і точного розкриття інформації про дію, виходячи з конкретних умов фінансово-господарської діяльності емітента відсутня.</w:t>
            </w:r>
          </w:p>
        </w:tc>
      </w:tr>
    </w:tbl>
    <w:p w14:paraId="1A025CF2" w14:textId="77777777" w:rsidR="00026665" w:rsidRDefault="00026665"/>
    <w:sectPr w:rsidR="00026665">
      <w:pgSz w:w="11905" w:h="16837"/>
      <w:pgMar w:top="570" w:right="720" w:bottom="570" w:left="720" w:header="708"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EAD4B" w14:textId="77777777" w:rsidR="00026665" w:rsidRDefault="00026665">
      <w:pPr>
        <w:spacing w:after="0" w:line="240" w:lineRule="auto"/>
      </w:pPr>
      <w:r>
        <w:separator/>
      </w:r>
    </w:p>
  </w:endnote>
  <w:endnote w:type="continuationSeparator" w:id="0">
    <w:p w14:paraId="150F6ED5" w14:textId="77777777" w:rsidR="00026665" w:rsidRDefault="00026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entury Gothic"/>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18DA2" w14:textId="77777777" w:rsidR="00000000" w:rsidRDefault="00000000">
    <w:pPr>
      <w:widowControl w:val="0"/>
      <w:autoSpaceDE w:val="0"/>
      <w:autoSpaceDN w:val="0"/>
      <w:adjustRightInd w:val="0"/>
      <w:spacing w:after="0" w:line="240" w:lineRule="auto"/>
      <w:jc w:val="right"/>
      <w:rPr>
        <w:rFonts w:ascii="Times New Roman" w:hAnsi="Times New Roman" w:cs="Times New Roman"/>
        <w:kern w:val="0"/>
        <w:sz w:val="20"/>
        <w:szCs w:val="20"/>
        <w:lang w:val="ru-RU"/>
      </w:rPr>
    </w:pPr>
    <w:r>
      <w:rPr>
        <w:rFonts w:ascii="Times New Roman" w:hAnsi="Times New Roman" w:cs="Times New Roman"/>
        <w:kern w:val="0"/>
        <w:sz w:val="20"/>
        <w:szCs w:val="20"/>
        <w:lang w:val="ru-RU"/>
      </w:rPr>
      <w:fldChar w:fldCharType="begin"/>
    </w:r>
    <w:r>
      <w:rPr>
        <w:rFonts w:ascii="Times New Roman" w:hAnsi="Times New Roman" w:cs="Times New Roman"/>
        <w:kern w:val="0"/>
        <w:sz w:val="20"/>
        <w:szCs w:val="20"/>
        <w:lang w:val="ru-RU"/>
      </w:rPr>
      <w:instrText>PAGE</w:instrText>
    </w:r>
    <w:r w:rsidR="006A5B07">
      <w:rPr>
        <w:rFonts w:ascii="Times New Roman" w:hAnsi="Times New Roman" w:cs="Times New Roman"/>
        <w:kern w:val="0"/>
        <w:sz w:val="20"/>
        <w:szCs w:val="20"/>
        <w:lang w:val="ru-RU"/>
      </w:rPr>
      <w:fldChar w:fldCharType="separate"/>
    </w:r>
    <w:r w:rsidR="006A5B07">
      <w:rPr>
        <w:rFonts w:ascii="Times New Roman" w:hAnsi="Times New Roman" w:cs="Times New Roman"/>
        <w:noProof/>
        <w:kern w:val="0"/>
        <w:sz w:val="20"/>
        <w:szCs w:val="20"/>
        <w:lang w:val="ru-RU"/>
      </w:rPr>
      <w:t>1</w:t>
    </w:r>
    <w:r>
      <w:rPr>
        <w:rFonts w:ascii="Times New Roman" w:hAnsi="Times New Roman" w:cs="Times New Roman"/>
        <w:kern w:val="0"/>
        <w:sz w:val="20"/>
        <w:szCs w:val="20"/>
        <w:lang w:val="ru-R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C16611" w14:textId="77777777" w:rsidR="00026665" w:rsidRDefault="00026665">
      <w:pPr>
        <w:spacing w:after="0" w:line="240" w:lineRule="auto"/>
      </w:pPr>
      <w:r>
        <w:separator/>
      </w:r>
    </w:p>
  </w:footnote>
  <w:footnote w:type="continuationSeparator" w:id="0">
    <w:p w14:paraId="37B0A402" w14:textId="77777777" w:rsidR="00026665" w:rsidRDefault="000266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B07"/>
    <w:rsid w:val="00026665"/>
    <w:rsid w:val="006A5B07"/>
    <w:rsid w:val="00BB0D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70963C"/>
  <w14:defaultImageDpi w14:val="0"/>
  <w15:docId w15:val="{E02324AB-6E09-46D6-8050-72FF2463D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uk-UA" w:eastAsia="uk-U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2438</Words>
  <Characters>1390</Characters>
  <Application>Microsoft Office Word</Application>
  <DocSecurity>0</DocSecurity>
  <Lines>11</Lines>
  <Paragraphs>7</Paragraphs>
  <ScaleCrop>false</ScaleCrop>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Ступак</dc:creator>
  <cp:keywords/>
  <dc:description/>
  <cp:lastModifiedBy>Олена Ступак</cp:lastModifiedBy>
  <cp:revision>2</cp:revision>
  <dcterms:created xsi:type="dcterms:W3CDTF">2025-04-30T16:45:00Z</dcterms:created>
  <dcterms:modified xsi:type="dcterms:W3CDTF">2025-04-30T16:45:00Z</dcterms:modified>
</cp:coreProperties>
</file>