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C6E" w:rsidRDefault="00183D75">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831C6E" w:rsidRDefault="00831C6E">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831C6E" w:rsidRPr="00D3031F">
        <w:trPr>
          <w:trHeight w:val="300"/>
        </w:trPr>
        <w:tc>
          <w:tcPr>
            <w:tcW w:w="5230" w:type="dxa"/>
            <w:tcBorders>
              <w:top w:val="nil"/>
              <w:left w:val="nil"/>
              <w:bottom w:val="single" w:sz="6" w:space="0" w:color="auto"/>
              <w:right w:val="nil"/>
            </w:tcBorders>
            <w:vAlign w:val="bottom"/>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31.07.2026</w:t>
            </w:r>
          </w:p>
        </w:tc>
      </w:tr>
      <w:tr w:rsidR="00831C6E" w:rsidRPr="00D3031F">
        <w:tblPrEx>
          <w:tblBorders>
            <w:bottom w:val="none" w:sz="0" w:space="0" w:color="auto"/>
          </w:tblBorders>
        </w:tblPrEx>
        <w:trPr>
          <w:trHeight w:val="300"/>
        </w:trPr>
        <w:tc>
          <w:tcPr>
            <w:tcW w:w="5230" w:type="dxa"/>
            <w:tcBorders>
              <w:top w:val="nil"/>
              <w:left w:val="nil"/>
              <w:bottom w:val="nil"/>
              <w:right w:val="nil"/>
            </w:tcBorders>
            <w:vAlign w:val="bottom"/>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(дата реєстрації особою електронного документа)</w:t>
            </w:r>
          </w:p>
        </w:tc>
      </w:tr>
      <w:tr w:rsidR="00831C6E" w:rsidRPr="00D3031F">
        <w:trPr>
          <w:trHeight w:val="300"/>
        </w:trPr>
        <w:tc>
          <w:tcPr>
            <w:tcW w:w="5230" w:type="dxa"/>
            <w:tcBorders>
              <w:top w:val="nil"/>
              <w:left w:val="nil"/>
              <w:bottom w:val="single" w:sz="6" w:space="0" w:color="auto"/>
              <w:right w:val="nil"/>
            </w:tcBorders>
            <w:vAlign w:val="bottom"/>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0731/1/26</w:t>
            </w:r>
          </w:p>
        </w:tc>
      </w:tr>
      <w:tr w:rsidR="00831C6E" w:rsidRPr="00D3031F">
        <w:trPr>
          <w:trHeight w:val="300"/>
        </w:trPr>
        <w:tc>
          <w:tcPr>
            <w:tcW w:w="5230" w:type="dxa"/>
            <w:tcBorders>
              <w:top w:val="nil"/>
              <w:left w:val="nil"/>
              <w:bottom w:val="nil"/>
              <w:right w:val="nil"/>
            </w:tcBorders>
            <w:vAlign w:val="bottom"/>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(вихідний реєстраційний номер електронного документа)</w:t>
            </w:r>
          </w:p>
        </w:tc>
      </w:tr>
    </w:tbl>
    <w:p w:rsidR="00831C6E" w:rsidRDefault="00831C6E">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831C6E" w:rsidRPr="00D3031F">
        <w:trPr>
          <w:trHeight w:val="300"/>
        </w:trPr>
        <w:tc>
          <w:tcPr>
            <w:tcW w:w="10465" w:type="dxa"/>
            <w:tcBorders>
              <w:top w:val="nil"/>
              <w:left w:val="nil"/>
              <w:bottom w:val="nil"/>
              <w:right w:val="nil"/>
            </w:tcBorders>
            <w:vAlign w:val="bottom"/>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831C6E" w:rsidRDefault="00831C6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831C6E" w:rsidRPr="00D3031F">
        <w:trPr>
          <w:trHeight w:val="200"/>
        </w:trPr>
        <w:tc>
          <w:tcPr>
            <w:tcW w:w="3415" w:type="dxa"/>
            <w:tcBorders>
              <w:top w:val="nil"/>
              <w:left w:val="nil"/>
              <w:bottom w:val="single" w:sz="6" w:space="0" w:color="auto"/>
              <w:right w:val="nil"/>
            </w:tcBorders>
            <w:vAlign w:val="bottom"/>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Голова правлiння</w:t>
            </w:r>
          </w:p>
        </w:tc>
        <w:tc>
          <w:tcPr>
            <w:tcW w:w="216" w:type="dxa"/>
            <w:tcBorders>
              <w:top w:val="nil"/>
              <w:left w:val="nil"/>
              <w:bottom w:val="nil"/>
              <w:right w:val="nil"/>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Гусєва I.О.</w:t>
            </w:r>
          </w:p>
        </w:tc>
      </w:tr>
      <w:tr w:rsidR="00831C6E" w:rsidRPr="00D3031F">
        <w:trPr>
          <w:trHeight w:val="200"/>
        </w:trPr>
        <w:tc>
          <w:tcPr>
            <w:tcW w:w="3415" w:type="dxa"/>
            <w:tcBorders>
              <w:top w:val="nil"/>
              <w:left w:val="nil"/>
              <w:bottom w:val="nil"/>
              <w:right w:val="nil"/>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(посада)</w:t>
            </w:r>
          </w:p>
        </w:tc>
        <w:tc>
          <w:tcPr>
            <w:tcW w:w="216" w:type="dxa"/>
            <w:tcBorders>
              <w:top w:val="nil"/>
              <w:left w:val="nil"/>
              <w:bottom w:val="nil"/>
              <w:right w:val="nil"/>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(прізвище та ініціали керівника або уповноваженої особи)</w:t>
            </w:r>
          </w:p>
        </w:tc>
      </w:tr>
    </w:tbl>
    <w:p w:rsidR="00831C6E" w:rsidRDefault="00831C6E">
      <w:pPr>
        <w:widowControl w:val="0"/>
        <w:autoSpaceDE w:val="0"/>
        <w:autoSpaceDN w:val="0"/>
        <w:adjustRightInd w:val="0"/>
        <w:spacing w:after="0" w:line="240" w:lineRule="auto"/>
        <w:rPr>
          <w:rFonts w:ascii="Times New Roman CYR" w:hAnsi="Times New Roman CYR" w:cs="Times New Roman CYR"/>
          <w:sz w:val="20"/>
          <w:szCs w:val="20"/>
        </w:rPr>
      </w:pPr>
    </w:p>
    <w:p w:rsidR="00831C6E" w:rsidRDefault="00183D7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Проміжний звіт</w:t>
      </w:r>
    </w:p>
    <w:p w:rsidR="00831C6E" w:rsidRDefault="00183D7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"Страховi гарантiї України" (33832772)</w:t>
      </w:r>
    </w:p>
    <w:p w:rsidR="00831C6E" w:rsidRDefault="00183D7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 квартал 2026 року</w:t>
      </w:r>
    </w:p>
    <w:p w:rsidR="00831C6E" w:rsidRDefault="00831C6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проміжного звіту: </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831C6E" w:rsidRDefault="00831C6E">
      <w:pPr>
        <w:widowControl w:val="0"/>
        <w:autoSpaceDE w:val="0"/>
        <w:autoSpaceDN w:val="0"/>
        <w:adjustRightInd w:val="0"/>
        <w:spacing w:after="0" w:line="240" w:lineRule="auto"/>
        <w:rPr>
          <w:rFonts w:ascii="Times New Roman CYR" w:hAnsi="Times New Roman CYR" w:cs="Times New Roman CYR"/>
          <w:sz w:val="24"/>
          <w:szCs w:val="24"/>
        </w:rPr>
      </w:pP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проміжної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4949"/>
        <w:gridCol w:w="236"/>
        <w:gridCol w:w="1669"/>
      </w:tblGrid>
      <w:tr w:rsidR="00831C6E" w:rsidRPr="00D3031F">
        <w:trPr>
          <w:trHeight w:val="300"/>
        </w:trPr>
        <w:tc>
          <w:tcPr>
            <w:tcW w:w="3415" w:type="dxa"/>
            <w:vMerge w:val="restart"/>
            <w:tcBorders>
              <w:top w:val="nil"/>
              <w:left w:val="nil"/>
              <w:bottom w:val="nil"/>
              <w:right w:val="nil"/>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Проміжну інформацію розміщено на власному вебсайті емітента</w:t>
            </w:r>
          </w:p>
        </w:tc>
        <w:tc>
          <w:tcPr>
            <w:tcW w:w="216" w:type="dxa"/>
            <w:tcBorders>
              <w:top w:val="nil"/>
              <w:left w:val="nil"/>
              <w:bottom w:val="nil"/>
              <w:right w:val="nil"/>
            </w:tcBorders>
          </w:tcPr>
          <w:p w:rsidR="00831C6E" w:rsidRPr="00D3031F" w:rsidRDefault="00831C6E">
            <w:pPr>
              <w:widowControl w:val="0"/>
              <w:autoSpaceDE w:val="0"/>
              <w:autoSpaceDN w:val="0"/>
              <w:adjustRightInd w:val="0"/>
              <w:spacing w:after="0" w:line="240" w:lineRule="auto"/>
              <w:rPr>
                <w:rFonts w:ascii="Times New Roman CYR" w:hAnsi="Times New Roman CYR" w:cs="Times New Roman CYR"/>
                <w:sz w:val="24"/>
                <w:szCs w:val="24"/>
              </w:rPr>
            </w:pPr>
          </w:p>
        </w:tc>
        <w:tc>
          <w:tcPr>
            <w:tcW w:w="4949" w:type="dxa"/>
            <w:tcBorders>
              <w:top w:val="nil"/>
              <w:left w:val="nil"/>
              <w:bottom w:val="single" w:sz="6" w:space="0" w:color="auto"/>
              <w:right w:val="nil"/>
            </w:tcBorders>
            <w:vAlign w:val="bottom"/>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http://www.sgu.com.ua/stakeholder.html</w:t>
            </w:r>
          </w:p>
        </w:tc>
        <w:tc>
          <w:tcPr>
            <w:tcW w:w="216" w:type="dxa"/>
            <w:tcBorders>
              <w:top w:val="nil"/>
              <w:left w:val="nil"/>
              <w:bottom w:val="nil"/>
              <w:right w:val="nil"/>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669" w:type="dxa"/>
            <w:tcBorders>
              <w:top w:val="nil"/>
              <w:left w:val="nil"/>
              <w:bottom w:val="single" w:sz="6" w:space="0" w:color="auto"/>
              <w:right w:val="nil"/>
            </w:tcBorders>
            <w:vAlign w:val="bottom"/>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31.07.2026</w:t>
            </w:r>
          </w:p>
        </w:tc>
      </w:tr>
      <w:tr w:rsidR="00831C6E" w:rsidRPr="00D3031F">
        <w:trPr>
          <w:trHeight w:val="300"/>
        </w:trPr>
        <w:tc>
          <w:tcPr>
            <w:tcW w:w="3415" w:type="dxa"/>
            <w:vMerge/>
            <w:tcBorders>
              <w:top w:val="nil"/>
              <w:left w:val="nil"/>
              <w:bottom w:val="nil"/>
              <w:right w:val="nil"/>
            </w:tcBorders>
          </w:tcPr>
          <w:p w:rsidR="00831C6E" w:rsidRPr="00D3031F" w:rsidRDefault="00831C6E">
            <w:pPr>
              <w:widowControl w:val="0"/>
              <w:autoSpaceDE w:val="0"/>
              <w:autoSpaceDN w:val="0"/>
              <w:adjustRightInd w:val="0"/>
              <w:spacing w:after="0" w:line="240" w:lineRule="auto"/>
              <w:rPr>
                <w:rFonts w:ascii="Times New Roman CYR" w:hAnsi="Times New Roman CYR" w:cs="Times New Roman CYR"/>
                <w:sz w:val="20"/>
                <w:szCs w:val="20"/>
              </w:rPr>
            </w:pPr>
          </w:p>
        </w:tc>
        <w:tc>
          <w:tcPr>
            <w:tcW w:w="216" w:type="dxa"/>
            <w:tcBorders>
              <w:top w:val="nil"/>
              <w:left w:val="nil"/>
              <w:bottom w:val="nil"/>
              <w:right w:val="nil"/>
            </w:tcBorders>
          </w:tcPr>
          <w:p w:rsidR="00831C6E" w:rsidRPr="00D3031F" w:rsidRDefault="00831C6E">
            <w:pPr>
              <w:widowControl w:val="0"/>
              <w:autoSpaceDE w:val="0"/>
              <w:autoSpaceDN w:val="0"/>
              <w:adjustRightInd w:val="0"/>
              <w:spacing w:after="0" w:line="240" w:lineRule="auto"/>
              <w:rPr>
                <w:rFonts w:ascii="Times New Roman CYR" w:hAnsi="Times New Roman CYR" w:cs="Times New Roman CYR"/>
                <w:sz w:val="20"/>
                <w:szCs w:val="20"/>
              </w:rPr>
            </w:pPr>
          </w:p>
        </w:tc>
        <w:tc>
          <w:tcPr>
            <w:tcW w:w="4949" w:type="dxa"/>
            <w:tcBorders>
              <w:top w:val="nil"/>
              <w:left w:val="nil"/>
              <w:bottom w:val="nil"/>
              <w:right w:val="nil"/>
            </w:tcBorders>
            <w:vAlign w:val="bottom"/>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(URL-адреса вебсайту)</w:t>
            </w:r>
          </w:p>
        </w:tc>
        <w:tc>
          <w:tcPr>
            <w:tcW w:w="216" w:type="dxa"/>
            <w:tcBorders>
              <w:top w:val="nil"/>
              <w:left w:val="nil"/>
              <w:bottom w:val="nil"/>
              <w:right w:val="nil"/>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69" w:type="dxa"/>
            <w:tcBorders>
              <w:top w:val="nil"/>
              <w:left w:val="nil"/>
              <w:bottom w:val="nil"/>
              <w:right w:val="nil"/>
            </w:tcBorders>
            <w:vAlign w:val="bottom"/>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(дата)</w:t>
            </w:r>
          </w:p>
        </w:tc>
      </w:tr>
    </w:tbl>
    <w:p w:rsidR="00831C6E" w:rsidRDefault="00831C6E">
      <w:pPr>
        <w:widowControl w:val="0"/>
        <w:autoSpaceDE w:val="0"/>
        <w:autoSpaceDN w:val="0"/>
        <w:adjustRightInd w:val="0"/>
        <w:spacing w:after="0" w:line="240" w:lineRule="auto"/>
        <w:rPr>
          <w:rFonts w:ascii="Times New Roman CYR" w:hAnsi="Times New Roman CYR" w:cs="Times New Roman CYR"/>
          <w:sz w:val="20"/>
          <w:szCs w:val="20"/>
        </w:rPr>
        <w:sectPr w:rsidR="00831C6E">
          <w:footerReference w:type="default" r:id="rId6"/>
          <w:pgSz w:w="12240" w:h="15840"/>
          <w:pgMar w:top="570" w:right="720" w:bottom="570" w:left="720" w:header="708" w:footer="708" w:gutter="0"/>
          <w:cols w:space="720"/>
          <w:noEndnote/>
        </w:sectPr>
      </w:pPr>
    </w:p>
    <w:p w:rsidR="00831C6E"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не затверджувався, тому що у внутрiшнiх документах Товариства немає вимоги затверджувати промiжний звiт та вiдсутнiсть у законодавствi України такої вимоги</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якими надається забезпечення не надається, тому що Товариство не є особою, яка надає забезпечення.</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забезпечення за зобов'язаннями емiтента не надається, тому що Товариство не випускало забезпечених цiнних паперiв.</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не надається, тому що Товариства не визначає рейтингової оцiнки емiтента або цiнних паперiв. 14 травня 2026 року РА Експерт-Рейтинг прийняло рiшення вiдкликати рейтинг ПрАТ "Страховi гарантiї України".</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судовi справи не надається, тому що Товариство не має судових справ, за якими розглядаються позовнi вимоги у розмiрi на суму 1 та бiльше вiдсоткiв активiв Товариства на початок звiтного перiоду, стороною в яких виступає Товариство. </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штрафнi санкцiї не надається, тому що Товариство не має накладених органами державної влади штрафних сайкцiй.</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10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потрiбно вказати iнформацiю стосовно засновникiв (вiдповiдно до пп.2 п.5 ст.126 Закону України "Про ринки капiталу та органiзованi товарнi ринки), така iнформацiя наводиться нижче:</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Засновниками Товариства виступили особи, якi набули право власностi на акцiї Товариства пiд час його створення.</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електронний файл промiжної фiнансової звiтностi у форматi XBRL не мiстить роздiл, в якому розкривається опис господарської та фiнансової дiяльностi, URL-адреса вебсторiнки Центру збору фiнансової звiтностi не надається, а iнформацiя про господарську та фiнансову дiяльнiсть надається в цьому звiтi.</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електронному файлi промiжної фiнансової звiтностi у форматi XBRL не розкривається Iнформацiя про обсяги виробництва та реалiзацiї основних видiв продукцiї та Iнформацiя про собiвартiсть реалiзованої продукцiї не надається, тому що Товариство не вiдноситься до пiдприємств, якi займаються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електронному файлi промiжної фiнансової звiтностi у форматi XBRL не розкривається iнформацiя про участь в iнших юридичних особах, URL-адреса вебсторiнки Центру збору фiнансової звiтностi не надається, тому що Товариство не брало участi в iнших юридичних особах.</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електронному файлi промiжної фiнансової звiтностi у форматi XBRL не розкривається iнформацiя про вiдокремленi пiдроздiли, URL-адреса вебсторiнки Центру збору фiнансової звiтностi не надається, тому що Товариство не має вiдокремлених пiдроздiлiв.</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Уточнення щодо наявностi обмежень за акцiями не надається, тому що Товариство не має викуплених акцiй та iнших не голосуючих акцiй.</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не надається, тому що Товариство не випускало облiгацiй.</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надається, тому що Товариство не випускало iнших цiнних паперiв.</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папнерiв не надається, тому що Товариство не випускало забезпечених боргових цiнних паперiв.</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тому що Товариство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придбання власних акцiй протягом звiтного перiоду не надається, тому що Товариство не придбавало власних акцiй протягом звiтного перiоду.</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Товариства цiнних паперiв (крiм акцiй) не надається, тому що Товариство не випускало iнших цiнних паперiв.</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Iнформацiя про вчинення значних правочинiв, Iнформацiя про вчинення правочинiв, щодо вчинення яких є заiнтересованiсть не надається, тому що протягом перiоду з 01 сiчня по 30 червня (включно) 2026 року правочини не вчинялись.</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електронному файлi промiжної фiнансової звiтностi у форматi XBRL не розкривається звiт щодо огляду промiжної фiнансової звiтностi та довiдку щодо вiдомостей про звiт щодо огляду промiжної фiнансової звiтностi, тому що промiжна фiнансова звiтнiсть не перевiрялася суб'єком аудиторської дiяльностi.</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поручителя (страховика/гаранта), що здiйснює забезпечення випуску боргових цiнних паперiв (за кожним суб'єктом забезпечення окремо) не надається, тому що Товариство не здiйснювало випуск боргових цiнних паперiв.</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емiтента, складена за положеннями (стандартами) бухгалтерського облiку не надається, тому що Товариство подає фiнансову звiтнiсть, складену за мiжнародними стандартами фiнансової звiтностi.</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емiтента, складена за мiжнародними стандартами фiнансової звiтностi не надається, тому що Товариство розкрило фiнансову звiтнiсть в п. 1. Промiжна фiнансова звiтнiсть гл. III. Фiнансова iнформацiя даного звiту.</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стосовно УНЗР деяких посадових осiб не надається, тому що УНЗР в таких посадових осiб вiдсутнiй.</w:t>
      </w:r>
    </w:p>
    <w:p w:rsidR="00831C6E" w:rsidRDefault="00D3031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br w:type="page"/>
      </w:r>
    </w:p>
    <w:p w:rsidR="00831C6E" w:rsidRDefault="00183D7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Зміст</w:t>
      </w:r>
    </w:p>
    <w:p w:rsidR="00831C6E"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проміжного звіту</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5</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5</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структура</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6, 13</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13</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13</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33</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Цінні папери</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33</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35</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Проміжна фінансова звітність</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35</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Твердження щодо проміжної інформації</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35</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Значні правочини та правочини із заінтересованістю</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35</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36</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Проміжний звіт керівництва</w:t>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r>
      <w:r w:rsidR="00A77881">
        <w:rPr>
          <w:rFonts w:ascii="Times New Roman CYR" w:hAnsi="Times New Roman CYR" w:cs="Times New Roman CYR"/>
          <w:sz w:val="24"/>
          <w:szCs w:val="24"/>
        </w:rPr>
        <w:tab/>
        <w:t>36</w:t>
      </w:r>
      <w:bookmarkStart w:id="0" w:name="_GoBack"/>
      <w:bookmarkEnd w:id="0"/>
    </w:p>
    <w:p w:rsidR="00831C6E" w:rsidRDefault="00831C6E">
      <w:pPr>
        <w:widowControl w:val="0"/>
        <w:autoSpaceDE w:val="0"/>
        <w:autoSpaceDN w:val="0"/>
        <w:adjustRightInd w:val="0"/>
        <w:spacing w:after="0" w:line="240" w:lineRule="auto"/>
        <w:rPr>
          <w:rFonts w:ascii="Times New Roman CYR" w:hAnsi="Times New Roman CYR" w:cs="Times New Roman CYR"/>
          <w:sz w:val="24"/>
          <w:szCs w:val="24"/>
        </w:rPr>
      </w:pPr>
    </w:p>
    <w:p w:rsidR="00831C6E" w:rsidRDefault="00831C6E">
      <w:pPr>
        <w:widowControl w:val="0"/>
        <w:autoSpaceDE w:val="0"/>
        <w:autoSpaceDN w:val="0"/>
        <w:adjustRightInd w:val="0"/>
        <w:spacing w:after="0" w:line="240" w:lineRule="auto"/>
        <w:rPr>
          <w:rFonts w:ascii="Times New Roman CYR" w:hAnsi="Times New Roman CYR" w:cs="Times New Roman CYR"/>
          <w:sz w:val="24"/>
          <w:szCs w:val="24"/>
        </w:rPr>
        <w:sectPr w:rsidR="00831C6E" w:rsidSect="00D3031F">
          <w:pgSz w:w="12240" w:h="15840"/>
          <w:pgMar w:top="570" w:right="720" w:bottom="570" w:left="720" w:header="708" w:footer="0" w:gutter="0"/>
          <w:cols w:space="720"/>
          <w:noEndnote/>
        </w:sectPr>
      </w:pPr>
    </w:p>
    <w:p w:rsidR="00831C6E"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Приватне акцiонерне товариство "Страховi гарантiї України"</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ПрАТ "СГУ"</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33832772</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16.11.2005</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03115, Україна, м.Київ, вул. Львiвська, 22.</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831C6E" w:rsidRPr="00D3031F" w:rsidRDefault="00831C6E">
            <w:pPr>
              <w:widowControl w:val="0"/>
              <w:autoSpaceDE w:val="0"/>
              <w:autoSpaceDN w:val="0"/>
              <w:adjustRightInd w:val="0"/>
              <w:spacing w:after="0" w:line="240" w:lineRule="auto"/>
              <w:rPr>
                <w:rFonts w:ascii="Times New Roman CYR" w:hAnsi="Times New Roman CYR" w:cs="Times New Roman CYR"/>
                <w:sz w:val="24"/>
                <w:szCs w:val="24"/>
              </w:rPr>
            </w:pP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V</w:t>
            </w:r>
            <w:r w:rsidRPr="00D3031F">
              <w:rPr>
                <w:rFonts w:ascii="Times New Roman CYR" w:hAnsi="Times New Roman CYR" w:cs="Times New Roman CYR"/>
                <w:sz w:val="24"/>
                <w:szCs w:val="24"/>
              </w:rPr>
              <w:tab/>
              <w:t>Емітент</w:t>
            </w:r>
          </w:p>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ab/>
              <w:t>Особа, яка надає забезпечення</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V</w:t>
            </w:r>
            <w:r w:rsidRPr="00D3031F">
              <w:rPr>
                <w:rFonts w:ascii="Times New Roman CYR" w:hAnsi="Times New Roman CYR" w:cs="Times New Roman CYR"/>
                <w:sz w:val="24"/>
                <w:szCs w:val="24"/>
              </w:rPr>
              <w:tab/>
              <w:t>Так</w:t>
            </w:r>
          </w:p>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ab/>
              <w:t>Ні</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ab/>
              <w:t>Велике</w:t>
            </w:r>
          </w:p>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ab/>
              <w:t>Середнє</w:t>
            </w:r>
          </w:p>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V</w:t>
            </w:r>
            <w:r w:rsidRPr="00D3031F">
              <w:rPr>
                <w:rFonts w:ascii="Times New Roman CYR" w:hAnsi="Times New Roman CYR" w:cs="Times New Roman CYR"/>
                <w:sz w:val="24"/>
                <w:szCs w:val="24"/>
              </w:rPr>
              <w:tab/>
              <w:t>Мале</w:t>
            </w:r>
          </w:p>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ab/>
              <w:t>Мікро</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sgu@sgu.com.ua</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http://www.sgu.com.ua/</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(044) 537-03-87</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32000000</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0</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0</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13</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65.12 - Iншi види страхування, крiм страхування життя</w:t>
            </w:r>
          </w:p>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65.20 - Перестрахування</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ab/>
              <w:t>Однорівнева</w:t>
            </w:r>
          </w:p>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V</w:t>
            </w:r>
            <w:r w:rsidRPr="00D3031F">
              <w:rPr>
                <w:rFonts w:ascii="Times New Roman CYR" w:hAnsi="Times New Roman CYR" w:cs="Times New Roman CYR"/>
                <w:sz w:val="24"/>
                <w:szCs w:val="24"/>
              </w:rPr>
              <w:tab/>
              <w:t>Дворівнева</w:t>
            </w:r>
          </w:p>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ab/>
              <w:t>Інше</w:t>
            </w:r>
          </w:p>
        </w:tc>
      </w:tr>
    </w:tbl>
    <w:p w:rsidR="00D3031F" w:rsidRDefault="00D3031F">
      <w:pPr>
        <w:widowControl w:val="0"/>
        <w:autoSpaceDE w:val="0"/>
        <w:autoSpaceDN w:val="0"/>
        <w:adjustRightInd w:val="0"/>
        <w:spacing w:after="0" w:line="240" w:lineRule="auto"/>
        <w:rPr>
          <w:rFonts w:ascii="Times New Roman CYR" w:hAnsi="Times New Roman CYR" w:cs="Times New Roman CYR"/>
          <w:sz w:val="24"/>
          <w:szCs w:val="24"/>
        </w:rPr>
      </w:pPr>
    </w:p>
    <w:p w:rsidR="00831C6E" w:rsidRDefault="00D3031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r w:rsidR="00183D75">
        <w:rPr>
          <w:rFonts w:ascii="Times New Roman CYR" w:hAnsi="Times New Roman CYR" w:cs="Times New Roman CYR"/>
          <w:b/>
          <w:bCs/>
          <w:sz w:val="24"/>
          <w:szCs w:val="24"/>
        </w:rPr>
        <w:lastRenderedPageBreak/>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АКЦIОНЕРНЕ ТОВАРИСТВО "ПРОКРЕДИТ БАНК"</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21677333</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UA153209840000026509210110535</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гривня</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sidRPr="00D3031F">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АКЦIОНЕРНЕ ТОВАРИСТВО "ДЕРЖАВНИЙ ЕКСПОРТНО-IМПОРТНИЙ БАНК УКРАЇНИ"</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00032112</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UA853223130000026500000000217</w:t>
            </w:r>
          </w:p>
        </w:tc>
      </w:tr>
      <w:tr w:rsidR="00831C6E" w:rsidRPr="00D3031F">
        <w:trPr>
          <w:trHeight w:val="300"/>
        </w:trPr>
        <w:tc>
          <w:tcPr>
            <w:tcW w:w="500" w:type="dxa"/>
            <w:tcBorders>
              <w:top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sz w:val="24"/>
                <w:szCs w:val="24"/>
              </w:rPr>
            </w:pPr>
            <w:r w:rsidRPr="00D3031F">
              <w:rPr>
                <w:rFonts w:ascii="Times New Roman CYR" w:hAnsi="Times New Roman CYR" w:cs="Times New Roman CYR"/>
                <w:sz w:val="24"/>
                <w:szCs w:val="24"/>
              </w:rPr>
              <w:t>гривня</w:t>
            </w:r>
          </w:p>
        </w:tc>
      </w:tr>
    </w:tbl>
    <w:p w:rsidR="00831C6E" w:rsidRDefault="00831C6E">
      <w:pPr>
        <w:widowControl w:val="0"/>
        <w:autoSpaceDE w:val="0"/>
        <w:autoSpaceDN w:val="0"/>
        <w:adjustRightInd w:val="0"/>
        <w:spacing w:after="0" w:line="240" w:lineRule="auto"/>
        <w:rPr>
          <w:rFonts w:ascii="Times New Roman CYR" w:hAnsi="Times New Roman CYR" w:cs="Times New Roman CYR"/>
          <w:sz w:val="24"/>
          <w:szCs w:val="24"/>
        </w:rPr>
      </w:pP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831C6E" w:rsidRDefault="00183D7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Персональний склад органу управління (контролю)</w:t>
            </w:r>
          </w:p>
        </w:tc>
      </w:tr>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4</w:t>
            </w:r>
          </w:p>
        </w:tc>
      </w:tr>
      <w:tr w:rsidR="00831C6E" w:rsidRPr="00D3031F">
        <w:trPr>
          <w:trHeight w:val="200"/>
        </w:trPr>
        <w:tc>
          <w:tcPr>
            <w:tcW w:w="55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5</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Згiдно з реєстром власникiв цiнних паперiв</w:t>
            </w:r>
          </w:p>
        </w:tc>
      </w:tr>
      <w:tr w:rsidR="00831C6E" w:rsidRPr="00D3031F">
        <w:trPr>
          <w:trHeight w:val="200"/>
        </w:trPr>
        <w:tc>
          <w:tcPr>
            <w:tcW w:w="55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Правлiння</w:t>
            </w:r>
          </w:p>
        </w:tc>
        <w:tc>
          <w:tcPr>
            <w:tcW w:w="4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Голова правлiння - Гусєва Iрина Олександрiвна</w:t>
            </w:r>
          </w:p>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Члени правлiння - Боброва Тетяна Федорiвна, Покропивний Олександр Валерiйович</w:t>
            </w:r>
          </w:p>
        </w:tc>
      </w:tr>
      <w:tr w:rsidR="00831C6E" w:rsidRPr="00D3031F">
        <w:trPr>
          <w:trHeight w:val="200"/>
        </w:trPr>
        <w:tc>
          <w:tcPr>
            <w:tcW w:w="55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Голова Наглядової ради - Вакуленко Дмитро Михайлович</w:t>
            </w:r>
          </w:p>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Члени  Наглядової ради - Гладуш Янiна Вiкторiвна, Яцько Оксана Михайлiвна</w:t>
            </w:r>
          </w:p>
        </w:tc>
      </w:tr>
    </w:tbl>
    <w:p w:rsidR="00831C6E" w:rsidRDefault="00831C6E">
      <w:pPr>
        <w:widowControl w:val="0"/>
        <w:autoSpaceDE w:val="0"/>
        <w:autoSpaceDN w:val="0"/>
        <w:adjustRightInd w:val="0"/>
        <w:spacing w:after="0" w:line="240" w:lineRule="auto"/>
        <w:rPr>
          <w:rFonts w:ascii="Times New Roman CYR" w:hAnsi="Times New Roman CYR" w:cs="Times New Roman CYR"/>
        </w:rPr>
      </w:pPr>
    </w:p>
    <w:p w:rsidR="00831C6E" w:rsidRDefault="00831C6E">
      <w:pPr>
        <w:widowControl w:val="0"/>
        <w:autoSpaceDE w:val="0"/>
        <w:autoSpaceDN w:val="0"/>
        <w:adjustRightInd w:val="0"/>
        <w:spacing w:after="0" w:line="240" w:lineRule="auto"/>
        <w:rPr>
          <w:rFonts w:ascii="Times New Roman CYR" w:hAnsi="Times New Roman CYR" w:cs="Times New Roman CYR"/>
        </w:rPr>
        <w:sectPr w:rsidR="00831C6E">
          <w:pgSz w:w="12240" w:h="15840"/>
          <w:pgMar w:top="570" w:right="720" w:bottom="570" w:left="720" w:header="708" w:footer="708" w:gutter="0"/>
          <w:cols w:space="720"/>
          <w:noEndnote/>
        </w:sectPr>
      </w:pP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Стать чоловіча/ жіноча - (ч/ж)</w:t>
            </w:r>
          </w:p>
        </w:tc>
      </w:tr>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12</w:t>
            </w:r>
          </w:p>
        </w:tc>
      </w:tr>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Вакуленко Дмитро Михайлович</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1991</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14</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Приватне акцiонерне товариство "Страховi гарантiї України"</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33832772</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Голова Наглядової ради, АКЦIОНЕРНЕ ТОВАРИСТВО "ДЕРЖАВНИЙ ОЩАДНИЙ БАНК УКРАЇНИ" 00032129 головний економiст з обслуговування мiкро-малого та середнього бiзнесу, АКЦIОНЕРНЕ ТОВАРИСТВО "ДЕРЖАВНИЙ ОЩАДНИЙ БАНК УКРАЇНИ" 00032129  керiвник з обслуговування мiкро-малого та середнього бiзнесу</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06.05.2026</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ч</w:t>
            </w:r>
          </w:p>
        </w:tc>
      </w:tr>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Яцько Оксана Михайлiвна</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1970</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36</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Приватне акцiонерне товариство "Страховi гарантiї України"</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lastRenderedPageBreak/>
              <w:t>33832772</w:t>
            </w:r>
          </w:p>
          <w:p w:rsidR="00831C6E" w:rsidRPr="00D3031F" w:rsidRDefault="00183D75" w:rsidP="00D3031F">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член Наглядової ради; ПрАТ "Фарлеп-Iнвест",  19199961, провiдний бухгалтер з податкового облiку; ПрАТ "Фарлеп-Iнвест", 19199961, начальник сектору податкового облiку</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lastRenderedPageBreak/>
              <w:t>06.05.2026</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ж</w:t>
            </w:r>
          </w:p>
        </w:tc>
      </w:tr>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lastRenderedPageBreak/>
              <w:t>3</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Голова Наглядової ради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Гладуш Янiна Вiкторiвна</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1971</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36</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Приватне акцiонерне товариство "Страховi гарантiї України"</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33832772</w:t>
            </w:r>
          </w:p>
          <w:p w:rsidR="00831C6E" w:rsidRPr="00D3031F" w:rsidRDefault="00183D75" w:rsidP="00D3031F">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член Наглядової ради;  Приватне акцiонерне товариство "Страховi гарантiї України", 33832772, перекладач; Приватне акцiонерне товариство "Страховi гарантiї України", 33832772, бухгалтер</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06.05.2026</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ж</w:t>
            </w:r>
          </w:p>
        </w:tc>
      </w:tr>
    </w:tbl>
    <w:p w:rsidR="00D3031F" w:rsidRDefault="00D3031F">
      <w:pPr>
        <w:widowControl w:val="0"/>
        <w:autoSpaceDE w:val="0"/>
        <w:autoSpaceDN w:val="0"/>
        <w:adjustRightInd w:val="0"/>
        <w:spacing w:after="0" w:line="240" w:lineRule="auto"/>
        <w:rPr>
          <w:rFonts w:ascii="Times New Roman CYR" w:hAnsi="Times New Roman CYR" w:cs="Times New Roman CYR"/>
          <w:sz w:val="24"/>
          <w:szCs w:val="24"/>
        </w:rPr>
      </w:pPr>
    </w:p>
    <w:p w:rsidR="00831C6E" w:rsidRDefault="00D3031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r w:rsidR="00183D75">
        <w:rPr>
          <w:rFonts w:ascii="Times New Roman CYR" w:hAnsi="Times New Roman CYR" w:cs="Times New Roman CYR"/>
          <w:sz w:val="24"/>
          <w:szCs w:val="24"/>
        </w:rPr>
        <w:lastRenderedPageBreak/>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Стать чоловіча/ жіноча - (ч/ж)</w:t>
            </w:r>
          </w:p>
        </w:tc>
      </w:tr>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12</w:t>
            </w:r>
          </w:p>
        </w:tc>
      </w:tr>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Голова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Гусєва Iрина Олександрiвна</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1971</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33</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Приватне акцiонерне товариство "Страховi гарантiї України"</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33832772</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Голова правлiння</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14.06.2019</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ж</w:t>
            </w:r>
          </w:p>
        </w:tc>
      </w:tr>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Член правлiння - заступник голови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Покропивний Олександр Валерiйович</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1986</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18</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Приватне акцiонерне товариство "Страховi гарантiї України"</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33832772</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директор департаменту страхування</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11.11.2024</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ч</w:t>
            </w:r>
          </w:p>
        </w:tc>
      </w:tr>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Член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Боброва Тетяна Федорiвна</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49</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Приватне акцiонерне товариство "Страховi гарантiї України"</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33832772</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член правлiнння; Приватне акцiонерне товариство "Страховi гарантiї України", 33832772, головний бухгалтер</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14.06.2019</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ж</w:t>
            </w:r>
          </w:p>
        </w:tc>
      </w:tr>
    </w:tbl>
    <w:p w:rsidR="00D3031F" w:rsidRDefault="00D3031F">
      <w:pPr>
        <w:widowControl w:val="0"/>
        <w:autoSpaceDE w:val="0"/>
        <w:autoSpaceDN w:val="0"/>
        <w:adjustRightInd w:val="0"/>
        <w:spacing w:after="0" w:line="240" w:lineRule="auto"/>
        <w:rPr>
          <w:rFonts w:ascii="Times New Roman CYR" w:hAnsi="Times New Roman CYR" w:cs="Times New Roman CYR"/>
          <w:sz w:val="24"/>
          <w:szCs w:val="24"/>
        </w:rPr>
      </w:pPr>
    </w:p>
    <w:p w:rsidR="00831C6E" w:rsidRDefault="00D3031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r w:rsidR="00183D75">
        <w:rPr>
          <w:rFonts w:ascii="Times New Roman CYR" w:hAnsi="Times New Roman CYR" w:cs="Times New Roman CYR"/>
          <w:sz w:val="24"/>
          <w:szCs w:val="24"/>
        </w:rPr>
        <w:lastRenderedPageBreak/>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Стать чоловіча/ жіноча - (ч/ж)</w:t>
            </w:r>
          </w:p>
        </w:tc>
      </w:tr>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12</w:t>
            </w:r>
          </w:p>
        </w:tc>
      </w:tr>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Керiвник служби внутрiшнього аудиту</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Кружаєв Антон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1968</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38</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Приватне акцiонерне товариство "Страховi гарантiї України"</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33832772</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Керiвник служби внутрiшнього аудиту, ТОВАРИСТВО З ОБМЕЖЕНОЮ ВIДПОВIДАЛЬНIСТЮ "IНТЕРСТАРЧ УКРАЇНА" 38307757 керiвник проектiв</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16.03.2021</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ч</w:t>
            </w:r>
          </w:p>
        </w:tc>
      </w:tr>
      <w:tr w:rsidR="00831C6E" w:rsidRPr="00D3031F">
        <w:trPr>
          <w:trHeight w:val="2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Корпоративний секретар</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Лушнiкова Катерина Вiталiївна</w:t>
            </w:r>
          </w:p>
        </w:tc>
        <w:tc>
          <w:tcPr>
            <w:tcW w:w="11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1992</w:t>
            </w:r>
          </w:p>
        </w:tc>
        <w:tc>
          <w:tcPr>
            <w:tcW w:w="1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Приватне акцiонерне товариство "Страховi гарантiї України"</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33832772</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 xml:space="preserve">ДОЧIРНЄ ПIДПРИЄМСТВО ДЕРЖАВНОЇ КОМПАНIЇ "УКРСПЕЦЕКСПОРТ" - ДЕРЖАВНЕ ГОСПРОЗРАХУНКОВЕ ЗОВНIШНЬОТОРГIВЕЛЬНЕ </w:t>
            </w:r>
            <w:r w:rsidRPr="00D3031F">
              <w:rPr>
                <w:rFonts w:ascii="Times New Roman CYR" w:hAnsi="Times New Roman CYR" w:cs="Times New Roman CYR"/>
                <w:sz w:val="20"/>
                <w:szCs w:val="20"/>
              </w:rPr>
              <w:lastRenderedPageBreak/>
              <w:t>ПIДПРИЄМСТВО "СПЕЦТЕХНОЕКСПОРТ" 30019335 юристконсульт</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lastRenderedPageBreak/>
              <w:t>29.11.2023</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ж</w:t>
            </w:r>
          </w:p>
        </w:tc>
      </w:tr>
    </w:tbl>
    <w:p w:rsidR="00831C6E" w:rsidRDefault="00831C6E">
      <w:pPr>
        <w:widowControl w:val="0"/>
        <w:autoSpaceDE w:val="0"/>
        <w:autoSpaceDN w:val="0"/>
        <w:adjustRightInd w:val="0"/>
        <w:spacing w:after="0" w:line="240" w:lineRule="auto"/>
        <w:rPr>
          <w:rFonts w:ascii="Times New Roman CYR" w:hAnsi="Times New Roman CYR" w:cs="Times New Roman CYR"/>
          <w:sz w:val="20"/>
          <w:szCs w:val="20"/>
        </w:rPr>
      </w:pP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корпоративного секретаря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50"/>
        <w:gridCol w:w="2250"/>
        <w:gridCol w:w="1300"/>
        <w:gridCol w:w="1300"/>
        <w:gridCol w:w="1200"/>
        <w:gridCol w:w="3600"/>
        <w:gridCol w:w="1400"/>
        <w:gridCol w:w="1900"/>
        <w:gridCol w:w="1100"/>
      </w:tblGrid>
      <w:tr w:rsidR="00831C6E" w:rsidRPr="00D3031F">
        <w:trPr>
          <w:trHeight w:val="200"/>
        </w:trPr>
        <w:tc>
          <w:tcPr>
            <w:tcW w:w="13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Дата призначення на посаду</w:t>
            </w:r>
          </w:p>
        </w:tc>
        <w:tc>
          <w:tcPr>
            <w:tcW w:w="22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Ім'я</w:t>
            </w:r>
          </w:p>
        </w:tc>
        <w:tc>
          <w:tcPr>
            <w:tcW w:w="13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РНОКПП</w:t>
            </w:r>
          </w:p>
        </w:tc>
        <w:tc>
          <w:tcPr>
            <w:tcW w:w="13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УНЗР</w:t>
            </w:r>
          </w:p>
        </w:tc>
        <w:tc>
          <w:tcPr>
            <w:tcW w:w="12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Стаж роботи (років)</w:t>
            </w:r>
          </w:p>
        </w:tc>
        <w:tc>
          <w:tcPr>
            <w:tcW w:w="36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Повне найменування, ідентифікаційний код юридичної особи та посада, яку займав</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Непогашена судимість за корисливі та посадові злочини</w:t>
            </w:r>
          </w:p>
        </w:tc>
        <w:tc>
          <w:tcPr>
            <w:tcW w:w="1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Контактні дані (телефон та адреса електронної пошти корпоративного секретаря)</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Стать чоловіча/ жіноча - (ч/ж)</w:t>
            </w:r>
          </w:p>
        </w:tc>
      </w:tr>
      <w:tr w:rsidR="00831C6E" w:rsidRPr="00D3031F">
        <w:trPr>
          <w:trHeight w:val="200"/>
        </w:trPr>
        <w:tc>
          <w:tcPr>
            <w:tcW w:w="13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w:t>
            </w:r>
          </w:p>
        </w:tc>
        <w:tc>
          <w:tcPr>
            <w:tcW w:w="22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2</w:t>
            </w:r>
          </w:p>
        </w:tc>
        <w:tc>
          <w:tcPr>
            <w:tcW w:w="13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w:t>
            </w:r>
          </w:p>
        </w:tc>
        <w:tc>
          <w:tcPr>
            <w:tcW w:w="13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4</w:t>
            </w:r>
          </w:p>
        </w:tc>
        <w:tc>
          <w:tcPr>
            <w:tcW w:w="12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5</w:t>
            </w:r>
          </w:p>
        </w:tc>
        <w:tc>
          <w:tcPr>
            <w:tcW w:w="36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6</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7</w:t>
            </w:r>
          </w:p>
        </w:tc>
        <w:tc>
          <w:tcPr>
            <w:tcW w:w="1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8</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9</w:t>
            </w:r>
          </w:p>
        </w:tc>
      </w:tr>
      <w:tr w:rsidR="00831C6E" w:rsidRPr="00D3031F">
        <w:trPr>
          <w:trHeight w:val="200"/>
        </w:trPr>
        <w:tc>
          <w:tcPr>
            <w:tcW w:w="13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29.11.2023</w:t>
            </w:r>
          </w:p>
        </w:tc>
        <w:tc>
          <w:tcPr>
            <w:tcW w:w="22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Лушнiкова Катерина Вiталiївна</w:t>
            </w:r>
          </w:p>
        </w:tc>
        <w:tc>
          <w:tcPr>
            <w:tcW w:w="13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00"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2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4</w:t>
            </w:r>
          </w:p>
        </w:tc>
        <w:tc>
          <w:tcPr>
            <w:tcW w:w="36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ДОЧIРНЄ ПIДПРИЄМСТВО ДЕРЖАВНОЇ КОМПАНIЇ УКРСПЕЦЕКСПОРТ - ДЕРЖАВНЕ ГОСПРОЗРАХУНКОВЕ ЗОВНIШНЬОТОРГIВЕЛЬНЕ ПIДПРИЄМСТВО "СПЕЦТЕХНОЕКСПОРТ"</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30019335</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юристконсульт</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Ні</w:t>
            </w:r>
          </w:p>
        </w:tc>
        <w:tc>
          <w:tcPr>
            <w:tcW w:w="19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+38 0 (44) 537-03-87</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sgu@sgu.com.ua</w:t>
            </w:r>
          </w:p>
        </w:tc>
        <w:tc>
          <w:tcPr>
            <w:tcW w:w="11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ж</w:t>
            </w:r>
          </w:p>
        </w:tc>
      </w:tr>
    </w:tbl>
    <w:p w:rsidR="00831C6E" w:rsidRDefault="00831C6E">
      <w:pPr>
        <w:widowControl w:val="0"/>
        <w:autoSpaceDE w:val="0"/>
        <w:autoSpaceDN w:val="0"/>
        <w:adjustRightInd w:val="0"/>
        <w:spacing w:after="0" w:line="240" w:lineRule="auto"/>
        <w:rPr>
          <w:rFonts w:ascii="Times New Roman CYR" w:hAnsi="Times New Roman CYR" w:cs="Times New Roman CYR"/>
          <w:sz w:val="20"/>
          <w:szCs w:val="20"/>
        </w:rPr>
      </w:pPr>
    </w:p>
    <w:p w:rsidR="00831C6E" w:rsidRDefault="00D3031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br w:type="page"/>
      </w:r>
      <w:r w:rsidR="00183D75">
        <w:rPr>
          <w:rFonts w:ascii="Times New Roman CYR" w:hAnsi="Times New Roman CYR" w:cs="Times New Roman CYR"/>
          <w:b/>
          <w:bCs/>
          <w:sz w:val="24"/>
          <w:szCs w:val="24"/>
        </w:rPr>
        <w:lastRenderedPageBreak/>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1625"/>
        <w:gridCol w:w="1625"/>
        <w:gridCol w:w="1625"/>
        <w:gridCol w:w="1625"/>
        <w:gridCol w:w="1700"/>
        <w:gridCol w:w="1700"/>
      </w:tblGrid>
      <w:tr w:rsidR="00831C6E" w:rsidRPr="00D3031F">
        <w:trPr>
          <w:trHeight w:val="300"/>
        </w:trPr>
        <w:tc>
          <w:tcPr>
            <w:tcW w:w="550" w:type="dxa"/>
            <w:vMerge w:val="restart"/>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Кількість за типами акцій</w:t>
            </w:r>
          </w:p>
        </w:tc>
      </w:tr>
      <w:tr w:rsidR="00831C6E" w:rsidRPr="00D3031F">
        <w:trPr>
          <w:trHeight w:val="300"/>
        </w:trPr>
        <w:tc>
          <w:tcPr>
            <w:tcW w:w="550" w:type="dxa"/>
            <w:vMerge/>
            <w:tcBorders>
              <w:top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привілейовані іменні</w:t>
            </w:r>
          </w:p>
        </w:tc>
      </w:tr>
      <w:tr w:rsidR="00831C6E" w:rsidRPr="00D3031F">
        <w:trPr>
          <w:trHeight w:val="3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9</w:t>
            </w:r>
          </w:p>
        </w:tc>
      </w:tr>
      <w:tr w:rsidR="00831C6E" w:rsidRPr="00D3031F">
        <w:trPr>
          <w:trHeight w:val="3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Голова правлiння</w:t>
            </w:r>
          </w:p>
        </w:tc>
        <w:tc>
          <w:tcPr>
            <w:tcW w:w="2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Гусєва Iрина Олександрiвна</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1 000</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10</w:t>
            </w: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1 000</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r>
      <w:tr w:rsidR="00831C6E" w:rsidRPr="00D3031F">
        <w:trPr>
          <w:trHeight w:val="3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2</w:t>
            </w:r>
          </w:p>
        </w:tc>
        <w:tc>
          <w:tcPr>
            <w:tcW w:w="2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Член правлiння - заступник голови правлiння</w:t>
            </w:r>
          </w:p>
        </w:tc>
        <w:tc>
          <w:tcPr>
            <w:tcW w:w="2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Покропивний Олександр Валерiйович</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r>
      <w:tr w:rsidR="00831C6E" w:rsidRPr="00D3031F">
        <w:trPr>
          <w:trHeight w:val="3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Член правлiння</w:t>
            </w:r>
          </w:p>
        </w:tc>
        <w:tc>
          <w:tcPr>
            <w:tcW w:w="2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Боброва Тетяна Федорiвна</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r>
      <w:tr w:rsidR="00831C6E" w:rsidRPr="00D3031F">
        <w:trPr>
          <w:trHeight w:val="3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4</w:t>
            </w:r>
          </w:p>
        </w:tc>
        <w:tc>
          <w:tcPr>
            <w:tcW w:w="2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Керiвник служби внутрiшнього аудиту</w:t>
            </w:r>
          </w:p>
        </w:tc>
        <w:tc>
          <w:tcPr>
            <w:tcW w:w="2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Кружаєв Антон Миколайович</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r>
      <w:tr w:rsidR="00831C6E" w:rsidRPr="00D3031F">
        <w:trPr>
          <w:trHeight w:val="3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5</w:t>
            </w:r>
          </w:p>
        </w:tc>
        <w:tc>
          <w:tcPr>
            <w:tcW w:w="2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Корпоративний секретар</w:t>
            </w:r>
          </w:p>
        </w:tc>
        <w:tc>
          <w:tcPr>
            <w:tcW w:w="2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Лушнiкова Катерина Вiталiївна</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r>
      <w:tr w:rsidR="00831C6E" w:rsidRPr="00D3031F">
        <w:trPr>
          <w:trHeight w:val="3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6</w:t>
            </w:r>
          </w:p>
        </w:tc>
        <w:tc>
          <w:tcPr>
            <w:tcW w:w="2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Голова Наглядової ради  (представник акцiонера)</w:t>
            </w:r>
          </w:p>
        </w:tc>
        <w:tc>
          <w:tcPr>
            <w:tcW w:w="2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Вакуленко Дмитро Михайлович</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r>
      <w:tr w:rsidR="00831C6E" w:rsidRPr="00D3031F">
        <w:trPr>
          <w:trHeight w:val="3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7</w:t>
            </w:r>
          </w:p>
        </w:tc>
        <w:tc>
          <w:tcPr>
            <w:tcW w:w="2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Член Наглядової ради (представник акцiонера)</w:t>
            </w:r>
          </w:p>
        </w:tc>
        <w:tc>
          <w:tcPr>
            <w:tcW w:w="2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Яцько Оксана Михайлiвна</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r>
      <w:tr w:rsidR="00831C6E" w:rsidRPr="00D3031F">
        <w:trPr>
          <w:trHeight w:val="3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8</w:t>
            </w:r>
          </w:p>
        </w:tc>
        <w:tc>
          <w:tcPr>
            <w:tcW w:w="2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Голова Наглядової ради  (акцiонер)</w:t>
            </w:r>
          </w:p>
        </w:tc>
        <w:tc>
          <w:tcPr>
            <w:tcW w:w="2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Гладуш Янiна Вiкторiвна</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1 800</w:t>
            </w:r>
          </w:p>
        </w:tc>
        <w:tc>
          <w:tcPr>
            <w:tcW w:w="162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18</w:t>
            </w: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1 800</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sz w:val="20"/>
                <w:szCs w:val="20"/>
              </w:rPr>
            </w:pPr>
            <w:r w:rsidRPr="00D3031F">
              <w:rPr>
                <w:rFonts w:ascii="Times New Roman CYR" w:hAnsi="Times New Roman CYR" w:cs="Times New Roman CYR"/>
                <w:sz w:val="20"/>
                <w:szCs w:val="20"/>
              </w:rPr>
              <w:t>0</w:t>
            </w:r>
          </w:p>
        </w:tc>
      </w:tr>
    </w:tbl>
    <w:p w:rsidR="00831C6E" w:rsidRDefault="00831C6E">
      <w:pPr>
        <w:widowControl w:val="0"/>
        <w:autoSpaceDE w:val="0"/>
        <w:autoSpaceDN w:val="0"/>
        <w:adjustRightInd w:val="0"/>
        <w:spacing w:after="0" w:line="240" w:lineRule="auto"/>
        <w:rPr>
          <w:rFonts w:ascii="Times New Roman CYR" w:hAnsi="Times New Roman CYR" w:cs="Times New Roman CYR"/>
          <w:sz w:val="20"/>
          <w:szCs w:val="20"/>
        </w:rPr>
      </w:pPr>
    </w:p>
    <w:p w:rsidR="00831C6E" w:rsidRDefault="00831C6E">
      <w:pPr>
        <w:widowControl w:val="0"/>
        <w:autoSpaceDE w:val="0"/>
        <w:autoSpaceDN w:val="0"/>
        <w:adjustRightInd w:val="0"/>
        <w:spacing w:after="0" w:line="240" w:lineRule="auto"/>
        <w:rPr>
          <w:rFonts w:ascii="Times New Roman CYR" w:hAnsi="Times New Roman CYR" w:cs="Times New Roman CYR"/>
          <w:sz w:val="20"/>
          <w:szCs w:val="20"/>
        </w:rPr>
        <w:sectPr w:rsidR="00831C6E">
          <w:pgSz w:w="16837" w:h="11905" w:orient="landscape"/>
          <w:pgMar w:top="570" w:right="720" w:bottom="570" w:left="720" w:header="708" w:footer="708" w:gutter="0"/>
          <w:cols w:space="720"/>
          <w:noEndnote/>
        </w:sectPr>
      </w:pPr>
    </w:p>
    <w:p w:rsidR="00831C6E" w:rsidRDefault="00183D7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https://www.sgu.com.ua/stakeholder.html</w:t>
      </w:r>
    </w:p>
    <w:p w:rsidR="00831C6E" w:rsidRDefault="00831C6E">
      <w:pPr>
        <w:widowControl w:val="0"/>
        <w:autoSpaceDE w:val="0"/>
        <w:autoSpaceDN w:val="0"/>
        <w:adjustRightInd w:val="0"/>
        <w:spacing w:after="0" w:line="240" w:lineRule="auto"/>
        <w:rPr>
          <w:rFonts w:ascii="Times New Roman CYR" w:hAnsi="Times New Roman CYR" w:cs="Times New Roman CYR"/>
          <w:sz w:val="24"/>
          <w:szCs w:val="24"/>
        </w:rPr>
      </w:pPr>
    </w:p>
    <w:p w:rsidR="00831C6E" w:rsidRDefault="00183D7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https://www.sgu.com.ua/stakeholder.html</w:t>
      </w:r>
    </w:p>
    <w:p w:rsidR="00831C6E" w:rsidRDefault="00831C6E">
      <w:pPr>
        <w:widowControl w:val="0"/>
        <w:autoSpaceDE w:val="0"/>
        <w:autoSpaceDN w:val="0"/>
        <w:adjustRightInd w:val="0"/>
        <w:spacing w:after="0" w:line="240" w:lineRule="auto"/>
        <w:rPr>
          <w:rFonts w:ascii="Times New Roman CYR" w:hAnsi="Times New Roman CYR" w:cs="Times New Roman CYR"/>
          <w:sz w:val="24"/>
          <w:szCs w:val="24"/>
        </w:rPr>
      </w:pPr>
    </w:p>
    <w:p w:rsidR="00831C6E" w:rsidRDefault="00183D7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 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не належить до будь-яких об'єднань пiдприємств.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2. 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дiяльностi.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не веде спiльної дiяльностi з iншими органiзацiями, пiдприємствами, установами.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3. 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Положення облiкової полiтики, описанi далi, застосовувалися послiдовно у всiх звiтних перiодах, представлених в цiй фiнансовiй звiтностi.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Фiнансовi iнструменти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визнає фiнансовi активи i фiнансовi зобов'язання в своєму звiтi про фiнансовий стан тодi i тiльки тодi, коли вони стають стороною контрактних зобов'язань на iнструменти. Фiнансовi активи i зобов'язання визнаються на дату здiйснення операцiї.</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 Первiсне визнання та оцiнка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При первiсному визнаннi фiнансовий актив оцiнюється за справедливою вартiстю, збiльшеною у випадку фiнансового активу, що оцiнюється не за справедливою вартiстю через прибуток або збиток, на суму витрат за угодою, якi вiдносяться до придбання або випуску фiнансового активу.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ii) Визнання та класифiкацiя фiнансових iнструментiв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Фiнансовi активи та фiнансовi зобов'язання визнаються у звiтi про фiнансовий стан у той момент, коли Товариство стає сторонами в контрактних взаємовiдносинах стосовно вiдповiдного iнструмента. Звичайнi операцiї придбання та реалiзацiї фiнансових активiв i зобов'язань визнаються iз використанням методу облiку на дату розрахункiв. Датою розрахункiв є дата, коли актив доставляється до або вiдправляється вiд Товариства. Облiк на дату розрахункiв передбачає:</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-визнання активу в день його отримання;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-припинення визнання активу та визнання будь-якого прибутку або збитку вiд вибуття у день, коли Товариство позбавляється активу.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Товариство класифiкує фiнансовi активи як такi, що оцiнюються у подальшому або за амортизованою собiвартiстю, або за справедливою вартiстю на основi обох таких чинникiв: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а) моделi бiзнесу суб'єкта господарювання для управлiння фiнансовими активами; та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б) характеристик конкретних грошових потокiв фiнансового активу.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визнає такi категорiї фiнансових активiв та фiнансових зобов'язань:</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-такi, що оцiнюються за справедливою вартiстю, з вiдображенням результату переоцiнки у прибутку або збитку;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-такi, що оцiнюються за амортизованою собiвартiстю.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не володiє фiнансовими активами, якi б облiковувались за справедливою вартiстю з вiдображенням результату переоцiнки у iншому сукупному прибутку.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Фiнансовi активи та фiнансовi зобов'язання Товариства представленi грошовими коштами та їхнiми </w:t>
      </w:r>
      <w:r w:rsidRPr="00782A62">
        <w:rPr>
          <w:rFonts w:ascii="Times New Roman CYR" w:hAnsi="Times New Roman CYR" w:cs="Times New Roman CYR"/>
          <w:sz w:val="24"/>
          <w:szCs w:val="24"/>
        </w:rPr>
        <w:lastRenderedPageBreak/>
        <w:t xml:space="preserve">еквiвалентами, торговельною та iншою дебiторською заборгованiстю, а також торговельною та iншою кредиторською заборгованiстю.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iii) Оцiнка вартостi фiнансових iнструментiв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Фiнансовi активи та фiнансовi зобов'язання первiсно оцiнюються за справедливою вартiстю.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Витрати на здiйснення операцiї, якi безпосередньо стосуються придбання або випуску фiнансових активiв та фiнансових зобов'язань (окрiм фiнансових активiв та фiнансових зобов'язань за справедливою вартiстю, iз вiдображенням переоцiнки у складi прибутку або збитку), додаються до або вираховуються зi справедливої вартостi фiнансових активiв або фiнансових зобов'язань, вiдповiдно, на момент первiсного визнання. Витрати на здiйснення операцiї, якi безпосередньо стосуються придбання фiнансових активiв або фiнансових зобов'язань, якi оцiнюються за справедливою вартiстю, iз вiдображенням переоцiнки у складi прибутку або збитку, визнаються негайно у складi прибутку або збитку.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Метод ефективної вiдсоткової ставки є методом розрахунку амортизованої вартостi боргового iнструменту та розподiлу доходiв з вiдсоткiв протягом вiдповiдного перiоду. Ефективна вiдсоткова ставка являє собою ставку, яка точно дисконтує очiкуванi майбутнi надходження грошових коштiв (у тому числi усi гонорари за договорами сплаченi або отриманi, якi становлять невiд'ємну частину ефективної вiдсоткової ставки, витрати на здiйснення операцiї та iншi премiї або дисконти) протягом очiкуваного строку використання боргового iнструменту або, коли доцiльно, коротшого перiоду до чистої балансової вартостi на момент первiсного визнання.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iv) Принцип оцiнки за справедливою вартiстю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Справедлива вартiсть являє собою вартiсть, за якою актив може бути обмiнений (зобов'язання може бути погашене) мiж добре обiзнаними, дiйсно бажаючих здiйснити таку угоду, незалежними одна вiд одної сторонами станом на дату визначення вартостi.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Наскiльки можливо Товариство оцiнює справедливу вартiсть iнструменту з використанням котирувань даного iнструменту на активному ринку. Ринок признається активним у випадку, якщо котирування легкодоступнi та вiдображають фактичнi та регулярнi угоди мiж незалежними учасниками ринку.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В разi вiдсутностi активного ринку, Товариство визначає справедливу вартiсть з використанням методiв оцiнки.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v) Принцип оцiнки за амортизованою вартiстю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Фiнансовий актив оцiнюється за амортизованою собiвартiстю, якщо вiн отримується з метою одержання договiрних грошових потокiв i договiрнi умови фiнансового активу генерують грошовi потоки, котрi є суто виплатами основної суми та процентiв на непогашену частку основної суми. Товариство визнає резерв пiд очiкуванi кредитнi збитки за фiнансовим активом, який облiковується за амортизованою вартiстю.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vi) Очiкуванi кредитнi збитки щодо фiнансових iнструментiв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створює резерв пiд очiкуванi кредитнi збитки  щодо всiх фiнансових активiв крiм тих, якi оцiнюються за справедливою вартiстю через прибутки/збитки, за розрахункiв з пов'язаними особами, а також щодо зобов'язань по наданню позик i договорiв фiнансової гарантiї. Такий резерв пiд знецiнення грунтується на величинi очiкуваних кредитних збиткiв, пов'язаних з ймовiрнiстю дефолту протягом наступних 12 мiсяцiв, якщо не вiдбулося значного збiльшення кредитного ризику з моменту первiсного визнання за iндивiдуальними оцiнками.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застосовує спрощений пiдхiд до визнання очiкуваних кредитних збиткiв на весь строк дiї торгової та iншої дебiторської заборгованостi згiдно з МСФЗ 9. Товариство вiдображає очiкуванi кредитнi збитки та змiни очiкуваних кредитних втрат на кожну звiтну дату, щоб вiдобразити змiни в кредитному ризику пiсля первiсного визнання.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При визначеннi того, чи збiльшився кредитний ризик фiнансового активу з моменту первiсного визнання та при оцiнцi ОКЗ, Товариство вважає, що наявна iнформацiя є релевантною, актуальною та доступною без надмiрних витрат або зусиль. Це включає в себе як кiлькiсну, так i якiсну iнформацiю та їх аналiз, виходячи з iсторичного досвiду Товариства та обгрунтованої кредитної оцiнки.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Товариство вважає фiнансовий актив неплатоспроможним, коли малоймовiрно, що позичальник сплатить </w:t>
      </w:r>
      <w:r w:rsidRPr="00782A62">
        <w:rPr>
          <w:rFonts w:ascii="Times New Roman CYR" w:hAnsi="Times New Roman CYR" w:cs="Times New Roman CYR"/>
          <w:sz w:val="24"/>
          <w:szCs w:val="24"/>
        </w:rPr>
        <w:lastRenderedPageBreak/>
        <w:t>свої кредитнi зобов'язання перед Товариством в повному обсязi.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vii) Припинення визнання фiнансових iнструментiв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Товариство припиняє визнавати фiнансовий актив лише у тих випадках, коли припиняють свою дiю договiрнi права на потоки грошових коштiв вiд цього активу, або ж коли вона передає фiнансовий актив i всi iстотнi ризики й вигоди, пов'язанi з володiнням цим активом, iншiй сторонi.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Пiсля повного припинення визнання фiнансового активу рiзниця мiж балансовою вартiстю активу та сумою компенсацiї отриманої i до отримання та накопиченим прибутком або збитком, який був визнаний у складi iнших сукупних доходiв та накопичений у складi власного капiталу, визнається у складi прибутку або збитку.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Товариство припиняє визнавати фiнансовi зобов'язання тодi, коли зобов'язання Товариства виконанi, вiдмiненi або спливає строк їхньої дiї. Рiзниця мiж балансовою вартiстю фiнансового зобов'язання, визнання якого було припинене, i компенсацiєю сплаченою або до виплати визнається у складi прибутку або збитку.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Страховi контракти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 Визначення та класифiкацiя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У ходi звичайної дiяльностi Товариство укладає страховi контракти, згiдно з якими воно приймає значний страховий ризик вiд своїх страхувальникiв. Як правило, Товариство визначає, чи має воно значний страховий ризик, порiвнюючи виплати, що пiдлягають виплатi пiсля страхового випадку, з виплатами, якi виплачуються, якщо страховий випадок не вiдбувся. Страховi контракти також можуть передати фiнансовий ризик. Товариство займається iншими видами ризикового страхування фiзичних та юридичних осiб.  Страховi продукти пропонують захист активiв страхувальника та вiдшкодування збиткiв iншим сторонам, якi зазнали шкоди внаслiдок настання страхового випадку.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У ходi звичайної дiяльностi Товариство використовує перестрахування для зменшення своїх ризикiв. Договiр перестрахування є договором страхування, який дозволяє передати частину страхового ризику та отримати компенсацiю вiд перестрахувальника частини страхової виплати та/або страхового вiдшкодування, що були виплаченi страхувальнику, застрахованiй особi або вигодонабувачу.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ii) Облiк договорiв страхування та перестрахування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Вiдокремлення складових вiд договору страхування та перестрахування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Перед тим, як Товариство облiковує страховий контракт на основi положень МСФЗ 17, воно оцiнює, чи мiстить контракт окремi компоненти, якi повиннi облiковуватися за iншим МСФЗ. Пiсля вiдокремлення будь-яких окремих компонентiв Товариство застосовує МСФЗ 17 до всiх iнших складових договору страхування. Наразi страховi контракти Товариства не мiстять нестрахових компонентiв.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Рiвень агрегацiї/Одиниця облiку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управляє страховими контрактами, укладеними за лiнiями бiзнесу в межах операцiйного сегмента, де кожна лiнiя бiзнесу  включає контракти, що пiдпадають пiд однаковi ризики. Усi страховi контракти в рамках лiнiй бiзнесу являють собою портфель контрактiв. Кожен портфель далi розбивається на групи контрактiв, якi випускаються протягом календарного року (рiчнi когорти) i є (i) контрактами, якi є обтяжливими при первiсному визнаннi; (ii) контрактами, якi при первiсному визнаннi не мають значної ймовiрностi стати обтяжливими згодом; або (iii) група решти контрактiв. Цi групи представляють рiвень агрегування, на якому первинно визнаються та оцiнюються страховi контракти.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Рентабельнiсть груп контрактiв оцiнюється за моделями актуарної оцiнки, якi враховують iснуючий i новий бiзнес. Товариство припускає, що жоден контракт у портфелi не є обтяжливим при первiсному визнаннi, якщо факти та обставини не свiдчать про iнше. Вiдповiдно до характеру страхових ризикiв, якi покриває Товариство, усi укладенi контракти мають максимальний потенцiал виплати збиткiв, який перевищує отриману премiю. Виходячи з цього, всi наявнi контракти згрупованi за категорiєю "немає значної можливостi стати обтяжливою".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Визнання, модифiкацiя та припинення визнання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визнає групи страхових контрактiв, якi вона випускає, починаючи з найбiльш раннього з наступного:</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lastRenderedPageBreak/>
        <w:t>-</w:t>
      </w:r>
      <w:r w:rsidRPr="00782A62">
        <w:rPr>
          <w:rFonts w:ascii="Times New Roman CYR" w:hAnsi="Times New Roman CYR" w:cs="Times New Roman CYR"/>
          <w:sz w:val="24"/>
          <w:szCs w:val="24"/>
        </w:rPr>
        <w:tab/>
        <w:t>початок перiоду охоплення групи договорiв;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w:t>
      </w:r>
      <w:r w:rsidRPr="00782A62">
        <w:rPr>
          <w:rFonts w:ascii="Times New Roman CYR" w:hAnsi="Times New Roman CYR" w:cs="Times New Roman CYR"/>
          <w:sz w:val="24"/>
          <w:szCs w:val="24"/>
        </w:rPr>
        <w:tab/>
        <w:t xml:space="preserve">дата, коли настав перший платiж вiд страхувальника в групi або коли був отриманий перший платiж, якщо дата платежу вiдсутня;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w:t>
      </w:r>
      <w:r w:rsidRPr="00782A62">
        <w:rPr>
          <w:rFonts w:ascii="Times New Roman CYR" w:hAnsi="Times New Roman CYR" w:cs="Times New Roman CYR"/>
          <w:sz w:val="24"/>
          <w:szCs w:val="24"/>
        </w:rPr>
        <w:tab/>
        <w:t>i коли Товариство визначає, що група контрактiв стає обтяжливою.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До груп включаються лише договори, якi вiдповiдають критерiям визнання на кiнець звiтного перiоду. Якщо контракти вiдповiдають критерiям визнання в групах пiсля звiтної дати, вони додаються до груп у звiтному перiодi, в якому вони вiдповiдають критерiям визнання, з урахуванням обмежень щодо рiчних когорт. У наступнi перiоди склад груп не переоцiнюється.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припиняє визнання страхових контрактiв, коли: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w:t>
      </w:r>
      <w:r w:rsidRPr="00782A62">
        <w:rPr>
          <w:rFonts w:ascii="Times New Roman CYR" w:hAnsi="Times New Roman CYR" w:cs="Times New Roman CYR"/>
          <w:sz w:val="24"/>
          <w:szCs w:val="24"/>
        </w:rPr>
        <w:tab/>
        <w:t>права та обов'язки, пов'язанi з контрактом, погашенi (тобто скасованi, анульованi або закiнчилися) або контракт змiнено таким чином, що модифiкацiя призводить до змiни моделi вимiрювання або застосовного стандарту для вимiрювання компонента контракту, суттєво змiнює межi контракту або вимагає змiнений договiр, який буде включено до iншої групи. У таких випадках Товариство припиняє визнання початкового контракту та визнає змiнений контракт як новий контракт.</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w:t>
      </w:r>
      <w:r w:rsidRPr="00782A62">
        <w:rPr>
          <w:rFonts w:ascii="Times New Roman CYR" w:hAnsi="Times New Roman CYR" w:cs="Times New Roman CYR"/>
          <w:sz w:val="24"/>
          <w:szCs w:val="24"/>
        </w:rPr>
        <w:tab/>
        <w:t>Якщо модифiкацiя не розглядається як припинення визнання, Товариство визнає суми, сплаченi або отриманi за модифiкацiю разом iз контрактом, як коригування вiдповiдного зобов'язання щодо залишкового покриття.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iii) Перiод покриття договору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включає в оцiнку групи страхових контрактiв усi майбутнi грошовi потоки в межах кожного контракту в групi. Грошовi потоки знаходяться в межах перiоду покриття страхового контракту, якщо вони випливають iз основних прав i зобов'язань, якi iснують протягом звiтного перiоду, в якому Товариство може змусити власника полiсу сплатити премiї, або в якому Товариство має суттєве зобов'язання надати власнику полiсу з послугами за договором страхування. Суттєве зобов'язання щодо надання послуг за договором страхування припиняється, коли Товариство має практичну можливiсть переоцiнити ризики конкретного страхувальника та, як наслiдок, може встановити цiну або рiвень вигiд, якi повнiстю вiдображають цi ризики.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Грошовi потоки за межами страхових контрактiв стосуються майбутнiх страхових контрактiв i визнаються, коли цi контракти вiдповiдають критерiям визнання.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iv) Початкова та наступна оцiнка - групи контрактiв, оцiнюваних вiдповiдно до пiдходу на основi розподiлу премiї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застосовує пiдхiд на основi розподiлу премiї до всiх страхових контрактiв, якi воно випускає, i договорiв перестрахування, якими вона володiє. Пiдхiд на основi розподiлу премiї є додатковою спрощеною моделлю оцiнки в МСФЗ 17, яка доступна для договорiв страхування та перестрахування, якi вiдповiдають критерiям прийнятностi.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має право застосовувати пiдхiд на основi розподiлу премiї, оскiльки на момент первiсного визнання вiдповiдають наступним критерiям:</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w:t>
      </w:r>
      <w:r w:rsidRPr="00782A62">
        <w:rPr>
          <w:rFonts w:ascii="Times New Roman CYR" w:hAnsi="Times New Roman CYR" w:cs="Times New Roman CYR"/>
          <w:sz w:val="24"/>
          <w:szCs w:val="24"/>
        </w:rPr>
        <w:tab/>
        <w:t>договори страхування та договори перестрахування збиткiв: перiод покриття кожного контракту в групi становить один рiк або менше,</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w:t>
      </w:r>
      <w:r w:rsidRPr="00782A62">
        <w:rPr>
          <w:rFonts w:ascii="Times New Roman CYR" w:hAnsi="Times New Roman CYR" w:cs="Times New Roman CYR"/>
          <w:sz w:val="24"/>
          <w:szCs w:val="24"/>
        </w:rPr>
        <w:tab/>
        <w:t>договори перестрахування, пов'язанi з ризиком: Товариство обгрунтовано очiкує, що кiнцева оцiнка активу для залишкового покриття не буде суттєво вiдрiзнятися вiд оцiнки, яка буде проведена iз застосуванням загальної моделi вимiрювання.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Кiнцева вартiсть невирiшених претензiй оцiнюється за допомогою ряду стандартних актуарних методiв прогнозування претензiй. Основне припущення, яке лежить в основi цих методiв, полягає в тому, що минулий досвiд Товариства щодо розробки претензiй можна використовувати для прогнозування майбутнього розвитку претензiй i, отже, кiнцевих витрат на претензiї.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Додаткове якiсне судження використовується для оцiнки того, якою мiрою минулi тенденцiї можуть не застосовуватися в майбутньому (наприклад, щоб вiдобразити одноразовi випадки, змiни зовнiшнiх або ринкових факторiв, економiчнi та вiйськово-полiтичнi умови, рiвнi iнфляцiї претензiй, судовi рiшення та законодавство, а також внутрiшнi фактори, такi як структура портфеля, особливостi полiтики та </w:t>
      </w:r>
      <w:r w:rsidRPr="00782A62">
        <w:rPr>
          <w:rFonts w:ascii="Times New Roman CYR" w:hAnsi="Times New Roman CYR" w:cs="Times New Roman CYR"/>
          <w:sz w:val="24"/>
          <w:szCs w:val="24"/>
        </w:rPr>
        <w:lastRenderedPageBreak/>
        <w:t>процедури розгляду претензiй), щоб отримати розрахункову остаточну вартiсть претензiй, яка представляє результат, зважений за ймовiрнiстю, очiкувану вартiсть iз дiапазону можливих результатiв, беручи до уваги усiх пов'язаних невизначеностей.</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У своїй оцiнцi понесених збиткiв Товариство використовує внутрiшнi та ринковi данi.  Ця iнформацiя використовується для розробки сценарiїв, пов'язаних iз затримкою претензiй, якi використовуються для прогнозування кiнцевої кiлькостi претензiй.</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має право вимагати вiд третiх сторiн компенсацiю деяких або всiх витрат. Оцiнки лiквiдацiйних вiдшкодувань i суброгацiйних вiдшкодувань розглядаються як знижка при оцiнцi кiнцевих витрат на претензiї.</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Iншi ключовi обставини, що впливають на надiйнiсть припущень, включають затримки в розрахунках та рiвень iнфляцiї.</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Чiтке коригування ризику для нефiнансового ризику оцiнюється окремо вiд iнших оцiнок. Для контрактiв, оцiнених вiдповiдно до пiдходу на основi розподiлу премiї, якщо контракти не є обтяжливими, явне коригування ризику для нефiнансового ризику оцiнюється лише для оцiнки зобов'язань за понесеними претензiями.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Коригування ризику на нефiнансовий ризик застосовується до теперiшньої вартостi очiкуваних майбутнiх грошових потокiв i вiдображає компенсацiю, яку вимагає Товариство за невизначенiсть щодо суми та часу грошових потокiв вiд нефiнансового ризику, оскiльки Товариство виконує страхування контракти. Товариство не розбиває змiну коригування ризику на нефiнансовий ризик на фiнансову та нефiнансову частини та включає всю змiну як частину результату страхових послуг.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не коригує зобов'язання на залишок покриття для випущених страхових контрактiв i покриття, що залишилося за утримуваними контрактами перестрахування, на ефект часової вартостi грошей, оскiльки страховi премiї пiдлягають сплатi протягом перiоду покриття контрактiв, який становить один рiк або менше. Оцiнки майбутнiх грошових потокiв, пов'язаних iз понесеними претензiями, коригуються з використанням поточних ставок дисконтування для вiдображення вартостi грошей у часi та фiнансових ризикiв, пов'язаних iз цими грошовими потоками, у тiй мiрi, в якiй вони не включенi в оцiнки грошових потокiв. Ставки дисконту вiдображають характеристики грошових потокiв, що виникають у зв'язку з групами страхових контрактiв, включаючи характеристики часу, валюти та лiквiдностi страхових контрактiв. Визначення ставки дисконтування, яка вiдображає характеристики грошових потокiв i характеристики лiквiдностi страхових контрактiв, вимагає значних суджень i оцiнок.</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оцiнює певнi грошовi потоки виконання на рiвнi портфеля або вище, а потiм розподiляє такi оцiнки на групи контрактiв.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 v) Аквiзицiйнi грошовi потоки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включає в себе наступнi грошовi потоки, отриманi в рамках страхового контракту, якi виникають в результатi продажу, андеррайтингу та початку групи страхових контрактiв i якi є:-    витрати, якi безпосередньо вiдносяться до окремих контрактiв i груп контрактiв; i витрати, якi безпосередньо вiдносяться до портфеля страхових контрактiв, до якого належить група, якi розподiляються на обгрунтованiй та послiдовнiй основi для оцiнки групи страхових контрактiв.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Для всiх груп грошовi потоки вiд страхування розподiлятимуться на пов'язанi групи страхових контрактiв i амортизуватимуться протягом перiоду покриття пов'язаної групи.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Грошовi потоки, якi безпосередньо не вiдносяться до портфеля страхових контрактiв, наприклад, деякi витрати на розробку продукту та навчання, визнаються у складi нерозподiлених витрат у мiру їх виникнення.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 vi) Початковi оцiнки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Балансова вартiсть групи страхових контрактiв, укладених на кiнець кожного звiтного перiоду, є сумою: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зобов'язання на залишок покриття; i зобов'язання за понесеними претензiями, що включає грошовi потоки виконання, пов'язанi з минулими послугами, вiднесеними до групи на звiтну дату.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Для випущених страхових контрактiв пiд час первiсного визнання Товариство оцiнює зобов'язання на залишок покриття за сумою отриманих премiй за вирахуванням будь-яких сплачених грошових потокiв </w:t>
      </w:r>
      <w:r w:rsidRPr="00782A62">
        <w:rPr>
          <w:rFonts w:ascii="Times New Roman CYR" w:hAnsi="Times New Roman CYR" w:cs="Times New Roman CYR"/>
          <w:sz w:val="24"/>
          <w:szCs w:val="24"/>
        </w:rPr>
        <w:lastRenderedPageBreak/>
        <w:t>вiд придбання та будь-яких сум, що виникають у результатi припинення визнання активу передплачених грошових потокiв вiд придбання.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оцiнює зобов'язання за понесеними претензiями як грошовi потоки виконання, пов'язанi з заявленими претензiями.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Якщо факти та обставини вказують на те, що контракти є обтяжливими при первiсному визнаннi, Товариство проводить додатковий аналiз, щоб визначити, чи очiкується чистий вiдтiк вiд контракту. Такi обтяжливi контракти групуються окремо вiд iнших контрактiв i Товариство визнає збиток у звiтi про прибутки та збитки для чистого вiдтоку, в результатi чого балансова вартiсть зобов'язання для групи дорiвнює грошовим потокам виконання. Компонент збитку встановлюється Товариством для зобов'язання на залишок покриття для таких обтяжливих груп iз вiдображенням збиткiв, визнаних i включених до зобов'язання на залишок покриття.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 vii) Подальша оцiнка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Для випущених страхових контрактiв на кожну з наступних звiтних дат зобов'язання на залишок покриття визначається наступним чином:</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w:t>
      </w:r>
      <w:r w:rsidRPr="00782A62">
        <w:rPr>
          <w:rFonts w:ascii="Times New Roman CYR" w:hAnsi="Times New Roman CYR" w:cs="Times New Roman CYR"/>
          <w:sz w:val="24"/>
          <w:szCs w:val="24"/>
        </w:rPr>
        <w:tab/>
        <w:t>збiльшено на премiї, отриманi в перiодi;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w:t>
      </w:r>
      <w:r w:rsidRPr="00782A62">
        <w:rPr>
          <w:rFonts w:ascii="Times New Roman CYR" w:hAnsi="Times New Roman CYR" w:cs="Times New Roman CYR"/>
          <w:sz w:val="24"/>
          <w:szCs w:val="24"/>
        </w:rPr>
        <w:tab/>
        <w:t>зменшено на грошовi потоки вiд страхування, сплаченi за перiод;</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w:t>
      </w:r>
      <w:r w:rsidRPr="00782A62">
        <w:rPr>
          <w:rFonts w:ascii="Times New Roman CYR" w:hAnsi="Times New Roman CYR" w:cs="Times New Roman CYR"/>
          <w:sz w:val="24"/>
          <w:szCs w:val="24"/>
        </w:rPr>
        <w:tab/>
        <w:t>зменшено на суми, визнанi страховим доходом за наданi в перiодi послуги; 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w:t>
      </w:r>
      <w:r w:rsidRPr="00782A62">
        <w:rPr>
          <w:rFonts w:ascii="Times New Roman CYR" w:hAnsi="Times New Roman CYR" w:cs="Times New Roman CYR"/>
          <w:sz w:val="24"/>
          <w:szCs w:val="24"/>
        </w:rPr>
        <w:tab/>
        <w:t>збiльшенi на амортизацiю страхових аквiзицiйних грошових потокiв у перiодi, визнаних витратами на страховi послуги.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Грошовi потоки виконання, що стосується заявлених вимог, тобто зобов'язання за понесеними претензiями, оновлюється Товариством для поточних припущень на кiнець кожного звiтного перiоду, використовуючи поточнi оцiнки суми, часу та невизначеностi майбутнiх грошових потокiв i ставок дисконту.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Якщо група контрактiв стає обтяжливою, Товариство збiльшує балансову вартiсть зобов'язання на залишок покриття до сум грошових потокiв виконання, визначених вiдповiдно до загальної моделi вимiрювання, iз сумою такого збiльшення, визнаною у витратах на страховi послуги. Згодом Товариство амортизує суму компоненту збиткiв у зобов'язаннi на залишок покриття шляхом зменшення витрат на страховi послуги. Амортизацiя компонента збиткiв базується на часi протягом перiоду покриття, що залишився за контрактами в обтяжливiй групi. Якщо факти та обставини вказують на те, що очiкувана прибутковiсть обтяжливої групи протягом залишкового покриття змiнилася, тодi Товариство повторно оцiнює грошовi потоки виконання, застосовуючи загальну модель вимiрювання i вiдображає змiни в грошових потоках виконання шляхом коригування компонента збитку вiдповiдно до вимог, доки компонент збитку не зменшиться до нуля.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 viii) Укладенi договори перестрахування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Утримуванi контракти перестрахування оцiнюються на тiй же основi, що й страховi контракти, за винятком коли: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w:t>
      </w:r>
      <w:r w:rsidRPr="00782A62">
        <w:rPr>
          <w:rFonts w:ascii="Times New Roman CYR" w:hAnsi="Times New Roman CYR" w:cs="Times New Roman CYR"/>
          <w:sz w:val="24"/>
          <w:szCs w:val="24"/>
        </w:rPr>
        <w:tab/>
        <w:t>Вони адаптованi для вiдображення особливостей договорiв перестрахування, що вiдрiзняються вiд договорiв 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w:t>
      </w:r>
      <w:r w:rsidRPr="00782A62">
        <w:rPr>
          <w:rFonts w:ascii="Times New Roman CYR" w:hAnsi="Times New Roman CYR" w:cs="Times New Roman CYR"/>
          <w:sz w:val="24"/>
          <w:szCs w:val="24"/>
        </w:rPr>
        <w:tab/>
        <w:t>Посилання на обтяжливi контракти стосуються контрактiв, за якими iснує чистий прибуток вiд початкового визнання. Для деяких груп укладених договорiв перестрахування група може складатися з одного контракту. Вiдповiдно до характеру договорiв перестрахування Товариства, якi дiють на даний момент, немає утримуваних контрактiв перестрахування, якi при первiсному визнаннi приносять чистий прибуток, або якi вважаються такими, що не мають значного ризику отримання прибутку.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визнає групу договорiв перестрахування, якi вона уклала з наступного моменту: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початку перiоду покриття групи укладених договорiв перестрахування. (Однак Товариство вiдкладає визнання групи утримуваних договорiв перестрахування, якi забезпечують пропорцiйне покриття, до дати первiсного визнання будь-якого базового страхового контракту, якщо ця дата є пiзнiшою за початок перiоду покриття групи утримуваних договорiв перестрахування) ; 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  дата визнання Товариством обтяжливої групи базових страхових контрактiв, якщо Товариство уклало </w:t>
      </w:r>
      <w:r w:rsidRPr="00782A62">
        <w:rPr>
          <w:rFonts w:ascii="Times New Roman CYR" w:hAnsi="Times New Roman CYR" w:cs="Times New Roman CYR"/>
          <w:sz w:val="24"/>
          <w:szCs w:val="24"/>
        </w:rPr>
        <w:lastRenderedPageBreak/>
        <w:t>вiдповiдний контракт перестрахування, що утримується в групi контрактiв перестрахування, що утримується на цю дату або ранiше.</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Коригування ризику являє собою суму ризику, що передається Товариством перестраховику.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Що грошовi потоки знаходяться в межах контракту, якщо вони виникають внаслiдок основних прав i зобов'язань Товариства, якi iснують протягом звiтного перiоду, в якому Товариство змушено сплачувати суми перестраховику або в якому Товариство має суттєве право на отримання послуг вiд перестраховика.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Усi грошовi потоки, що випливають iз збиткiв, що виникли та очiкуються, що виникнуть у рiк страхової подiї, включенi в оцiнку укладених договорiв перестрахування. Деякi з цих контрактiв можуть включати премiї за перестрахування за вiдновлення, якi гарантуються договiрними угодами i, таким чином, знаходяться в межах вiдповiдних договорiв перестрахування.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При оцiнцi укладених контрактiв перестрахування зваженi на ймовiрнiсть оцiнки теперiшньої вартостi майбутнiх грошових потокiв включають потенцiйнi кредитнi збитки та iншi суперечки перестраховика для вiдображення ризику невиконання перестраховиком.</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Пiд час первiсного визнання Товариство оцiнює покриття, що залишилося, за сумою  сплачених премiй за вибуття. Балансова вартiсть групи договорiв перестрахування, утримуваних на кiнець кожного звiтного перiоду, є сумою: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залишок покриття; i заявленi вимоги, що включають грошовi потоки виконання, пов'язанi з минулими послугами, вiднесенi до групи на звiтну дату.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Замiсть первiсного визнання, коли Товариство визнає збиток при первiсному визнаннi обтяжливої групи базових страхових контрактiв або коли до групи додаються подальшi обтяжливi базовi страховi контракти, Товариство встановлює компонент вiдшкодування збиткiв для решти покриття для групи договорiв перестрахування, якi мiстять вiдшкодування збиткiв. Компонент вiдшкодування збиткiв коригує балансову вартiсть активу для покриття, що залишилося.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На кожну з наступних звiтних дат залишок покриття становить суми: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збiльшенi за цедентськi премiї, сплаченi за перiод; 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зменшенi на суми цедентних премiй, визнаних як витрати на перестрахування послуг, отриманих у перiодi.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Замiсть компонента збиткiв, компонент вiдшкодування збиткiв коригує балансову вартiсть активу для покриття, що залишилося. Якщо було встановлено компонент вiдшкодування збиткiв, Товариство згодом зменшує компонент вiдшкодування збиткiв до нуля вiдповiдно до зменшення обтяжливої групи базових страхових контрактiв, щоб вiдобразити, що компонент вiдшкодування збиткiв не повинен перевищувати частку балансової вартостi суму компоненту збитку обтяжливої групи базових страхових контрактiв, яку суб'єкт господарювання очiкує вiдшкодувати за рахунок утримуваної групи договорiв перестрахування.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Страховий дохiд</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Страховий дохiд за перiод - це сума очiкуваних надходжень премiй, розподiлених на перiод. Товариство розподiляє очiкуванi надходження премiї на кожен перiод надання послуг за договором страхування на основi часу, що минув. Але якщо очiкувана схема вивiльнення ризику протягом перiоду покриття суттєво вiдрiзняється вiд плину часу, тодi розподiл здiйснюється на основi очiкуваного часу понесених витрат на страховi послуги.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За необхiдностi Товариство змiнює основу розподiлу мiж двома вищезазначеними методами, якщо змiнюються факти та обставини. Змiна облiковується перспективно як змiна облiкової оцiнки.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Нарахування страхового доходу вiдбувається шляхом рiвномiрного вiднесення страхових премiй в перiодах покриття.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 Витрати на страховi послуги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Витрати на страховi послуги включають:</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заявленi вимоги та вигоди;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iншi понесенi витрати на 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амортизацiю грошових потокiв виконання за договорами 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 змiни, якi стосуються минулої служби (тобто змiни в грошових потоках виконання, що    стосуються </w:t>
      </w:r>
      <w:r w:rsidRPr="00782A62">
        <w:rPr>
          <w:rFonts w:ascii="Times New Roman CYR" w:hAnsi="Times New Roman CYR" w:cs="Times New Roman CYR"/>
          <w:sz w:val="24"/>
          <w:szCs w:val="24"/>
        </w:rPr>
        <w:lastRenderedPageBreak/>
        <w:t>зобов'язання за понесеними претензiями; 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змiни, якi стосуються майбутнiх послуг (тобто збитки/скасування обтяжливих груп контрактiв через змiни компонентiв збиткiв).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Для контрактiв, оцiнюваних вiдповiдно до пiдходу на основi розподiлу премiй, амортизацiя грошових потокiв вiд отриманих доходiв вiд страхування проводиться лiнiйним методом.</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Чистий прибуток/(витрати) вiд укладених контрактiв перестрахування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окремо представляє у звiтi про фiнансовi результати суми прибутку, якi очiкується отримати вiд перестраховикiв, i витрати на перестрахування. Премiї за вiдновлення, що залежать вiд претензiй за базовими контрактами, розглядаються як частина претензiй, якi, як очiкується, будуть вiдшкодованi за укладеними договорами перестрахування. Комiсiї за цедент, якi не залежать вiд претензiй за виданими основними контрактами, зменшують премiї за цедент i враховуються як частина витрат на перестрахування.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Дебiторська та кредиторська заборгованiсть за основною дiяльнiстю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Дебiторська заборгованiсть по операцiях страхування, авансовi платежi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Дебiторська i кредиторська заборгованiсть вiдносно страхувальникiв, агентiв i перестрахувальникiв є фiнансовими iнструментами, як зазначено вище, i включена до складу дебiторської й кредиторської заборгованостi, що вираховується зi складу валових сум зобов'язань на залишок покриття та зобов'язань за понесеними претензiями за договорами страхування або перестрахувальних активiв. Товариство може провести залiк дебiторської й кредиторської заборгованостi, якщо iснує законодавчо встановлене право зробити взаємозалiк.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Авансовi платежi враховуються на дату здiйснення платежу, але вiдображаються в складi прибутку чи збитку на дату надання послуг.</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Iнша дебiторська заборгованiсть</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Iнша дебiторська заборгованiсть визнається як актив тодi, коли Товариство стає стороною договору та, внаслiдок цього, набуває юридичне право одержати грошовi кошти.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Первiсна оцiнка дебiторської заборгованостi здiйснюється за справедливою вартiстю.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Поточну дебiторську заборгованiсть без встановленої ставки вiдсотка Товариство оцiнює за сумою договору або первiсного рахунку фактури, якщо вплив дисконтування є несуттєвим.</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Зобов'язання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Кредиторська заборгованiсть визнається як зобов'язання тодi, коли Товариство стає стороною договору та, внаслiдок цього, набуває юридичне зобов'язання сплатити грошовi кошти.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Поточнi зобов'язання - це зобов'язання, якi вiдповiдають однiй або декiльком iз нижченаведених ознак:</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Керiвництво Товариства сподiвається погасити зобов'язання або зобов'язання пiдлягає погашенню протягом дванадцяти мiсяцiв пiсля звiтного перiоду;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Керiвництво Товариства не має безумовного права вiдстрочити погашення зобов'язання протягом щонайменше дванадцяти мiсяцiв пiсля звiтного перiоду.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Поточнi зобов'язання визнаються за умови вiдповiдностi визначенню i критерiям визнання зобов'язань.</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Поточнi зобов'язання оцiнюються у подальшому за амортизованою вартiстю.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Поточну кредиторську заборгованiсть без встановленої ставки вiдсотка Товариство оцiнює за сумою договору або первiсного рахунку фактури, якщо вплив дисконтування є несуттєвим.</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Забезпечення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Забезпечення визнаються, коли Товариство має теперiшню заборгованiсть (юридичну або конструктивну) внаслiдок минулої подiї, iснує ймовiрнiсть, що погашення зобов'язання вимагатиме вибуття ресурсiв, котрi втiлюють у собi економiчнi вигоди, i можна достовiрно оцiнити суму зобов'язання.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Товариство створює забезпечення витрат на оплату щорiчних (основних та додаткових) вiдпусток. Розрахунок такого забезпечення здiйснюється на пiдставi правил Облiкової полiтики Товариства. Розмiр створеного забезпечення на оплату вiдпусток пiдлягає iнвентаризацiї на кiнець року. Розмiр вiдрахувань до забезпечення вiдпусток, включаючи вiдрахування на соцiальне страхування з цих сум, розраховуються виходячи з кiлькостi днiв фактичного невикористаної працiвниками вiдпустки та їхнього </w:t>
      </w:r>
      <w:r w:rsidRPr="00782A62">
        <w:rPr>
          <w:rFonts w:ascii="Times New Roman CYR" w:hAnsi="Times New Roman CYR" w:cs="Times New Roman CYR"/>
          <w:sz w:val="24"/>
          <w:szCs w:val="24"/>
        </w:rPr>
        <w:lastRenderedPageBreak/>
        <w:t>середньоденного заробiтку на момент проведення такого розрахунку. Також можуть враховуватися iншi об'єктивнi фактори, що впливають на розрахунок цього показника. У разi необхiдностi робиться коригуюча проводка в бухгалтерському облiку згiдно даних iнвентаризацiї забезпечення вiдпусток.</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Забезпечення можуть створюватись i у iнших випадках, якщо за результатами минулих подiй вибуття економiчних вигiд у майбутньому є ймовiрним.</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Грошовi кошти та їх еквiваленти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Грошовi кошти та їх еквiваленти є статтями, якi легко конвертуються в певну суму наявних коштiв i пiдпадають незначнiй змiнi вартостi. Суми, у вiдношеннi яких є якi-небудь обмеження на їхнє використання, виключаються зi складу грошових коштiв та їх еквiвалентiв. Товариство включає до складу грошових коштiв та їх еквiвалентiв готiвковi кошти й залишки на банкiвських рахунках, включаючи банкiвськi депозити зi строком погашення до трьох мiсяцiв.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визнає банкiвськi депозити зi строком погашення бiльше трьох мiсяцiв з дати фiнансової звiтностi, в разi, якщо дострокове погашення таких депозитiв ймовiрно призведе до значних фiнансових втрат, в складi поточних фiнансових iнвестицiй.</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Акцiонерний капiтал</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Зареєстрований капiтал</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Зареєстрований (статутний капiтал) - це зафiксована в установчих документах загальна номiнальна вартiсть випущених акцiй.</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Резервний капiтал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Резервний капiтал Товариства формується з метою покриття можливих в майбутньому непередбачуваних збиткiв.  Товариство формує резервний капiтал у розмiрi 3 000 000,00 (три мiльйони) гривень.</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 Дивiденди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Можливiсть Товариства повiдомляти й виплачувати дивiденди пiдпадає пiд регулювання чинного законодавства України.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Дивiденди за звичайними акцiями вiдображаються в фiнансовiй звiтностi як використання нерозподiленого прибутку в мiру їх оголошення.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Основнi засоби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i) Визнання та оцiнка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Об'єкти основних засобiв вiдображаються в фiнансовiй звiтностi по фактичних витратах за винятком накопиченої амортизацiї й збиткiв вiд знецiнення, за винятком нерухомостi та транспорту, яка вiдображається по переоцiненiй вартостi, як описано далi.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У тому випадку, якщо об'єкт основних засобiв складається з декiлькох компонентiв, що мають рiзний строк корисного використання, такi компоненти вiдображаються як окремi об'єкти основних засобiв.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Витрати, понесенi на замiну частини одиницi основних засобiв, визнаються у балансовiй вартостi такої одиницi, якщо iснує ймовiрнiсть того, що така частина принесе Товариству майбутнi економiчнi вигоди, а її вартiсть може бути достовiрно оцiнена. При цьому припиняється визнання балансової вартостi замiненої частини. Витрати на поточне обслуговування основних засобiв визнаються у складi прибутку або збитку за перiод, в якому вони були понесенi.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ii) Переоцiнка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Нерухоме майно та транспортнi засоби Товариства пiдлягають переоцiнцi на регулярнiй основi. Перiодичнiсть переоцiнки залежить вiд змiн справедливої вартостi будинкiв та споруд,  транспорту що пiдлягають переоцiнцi. Збiльшення в результатi переоцiнки вартостi нерухомостi та транспорту вiдображається в складi iншого додаткового капiталу, за виключенням випадкiв, коли вiдбувається вiдшкодування попереднього зменшення в результатi переоцiнки вартостi зазначених об'єктiв, вiдображеного у складi прибутку чи збитку. У цьому випадку результат переоцiнки вiдображається у складi прибутку чи збитку. Зменшення в результатi переоцiнки вартостi будинкiв та транспорту вiдображається в складi прибутку чи збитку, за виключенням випадкiв, коли вiдбувається списання попереднього збiльшення в результатi переоцiнки вартостi зазначених об'єктiв, вiдображеного у складi </w:t>
      </w:r>
      <w:r w:rsidRPr="00782A62">
        <w:rPr>
          <w:rFonts w:ascii="Times New Roman CYR" w:hAnsi="Times New Roman CYR" w:cs="Times New Roman CYR"/>
          <w:sz w:val="24"/>
          <w:szCs w:val="24"/>
        </w:rPr>
        <w:lastRenderedPageBreak/>
        <w:t xml:space="preserve">iншого додаткового капiталу. У цьому випадку результат переоцiнки вiдображається у складi iншого додаткового капiталу.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прийняло рiшення, що частина суми дооцiнки основних засобiв  щоквартально переноситься до нерозподiленого прибутку. У цьому випадку сума перенесеної дооцiнки буде рiзницею мiж амортизацiєю, що базується на переоцiненiй балансовiй вартостi активу, та амортизацiєю, що базується на первiснiй вартостi активу. Перенесення з дооцiнки до нерозподiленого прибутку не здiйснюється через прибуток або збиток.</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iii)Амортизацiя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Амортизацiя основних засобiв нараховується по методу рiвномiрного нарахування зношування протягом передбачуваного строку їх корисного використання й вiдображається в складi прибутку чи збитку. Амортизацiя активу починається, коли вiн стає придатним до експлуатацiї, а для об'єктiв основних засобiв, зведених господарським способом - пiсля мiсяця завершення будiвництва об'єкта i його готовностi до експлуатацiї. По земельних дiлянках амортизацiя не нараховується. Строки корисного використання рiзних об'єктiв основних засобiв можуть бути представленi в такий спосiб.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Будинки, споруди, передавальнi пристрої</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782A62">
        <w:rPr>
          <w:rFonts w:ascii="Times New Roman CYR" w:hAnsi="Times New Roman CYR" w:cs="Times New Roman CYR"/>
          <w:sz w:val="24"/>
          <w:szCs w:val="24"/>
        </w:rPr>
        <w:t>40 рокiв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Машини та обладнання</w:t>
      </w:r>
      <w:r w:rsidRPr="00782A62">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782A62">
        <w:rPr>
          <w:rFonts w:ascii="Times New Roman CYR" w:hAnsi="Times New Roman CYR" w:cs="Times New Roman CYR"/>
          <w:sz w:val="24"/>
          <w:szCs w:val="24"/>
        </w:rPr>
        <w:t>5 рокiв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Транспортнi засоби                                                           </w:t>
      </w:r>
      <w:r w:rsidRPr="00782A62">
        <w:rPr>
          <w:rFonts w:ascii="Times New Roman CYR" w:hAnsi="Times New Roman CYR" w:cs="Times New Roman CYR"/>
          <w:sz w:val="24"/>
          <w:szCs w:val="24"/>
        </w:rPr>
        <w:tab/>
        <w:t>10-20 рокiв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Комп'ютерна технiка                                                        </w:t>
      </w:r>
      <w:r w:rsidRPr="00782A62">
        <w:rPr>
          <w:rFonts w:ascii="Times New Roman CYR" w:hAnsi="Times New Roman CYR" w:cs="Times New Roman CYR"/>
          <w:sz w:val="24"/>
          <w:szCs w:val="24"/>
        </w:rPr>
        <w:tab/>
        <w:t>5 рокiв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Iнструменти, прилади, iнвентар (меблi)</w:t>
      </w:r>
      <w:r w:rsidRPr="00782A62">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782A62">
        <w:rPr>
          <w:rFonts w:ascii="Times New Roman CYR" w:hAnsi="Times New Roman CYR" w:cs="Times New Roman CYR"/>
          <w:sz w:val="24"/>
          <w:szCs w:val="24"/>
        </w:rPr>
        <w:t>4-5 рокiв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Iншi основнi засоби                                                          </w:t>
      </w:r>
      <w:r w:rsidRPr="00782A62">
        <w:rPr>
          <w:rFonts w:ascii="Times New Roman CYR" w:hAnsi="Times New Roman CYR" w:cs="Times New Roman CYR"/>
          <w:sz w:val="24"/>
          <w:szCs w:val="24"/>
        </w:rPr>
        <w:tab/>
        <w:t>до 12 рокiв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Нематерiальнi активи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i) Визнання та оцiнка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Нематерiальнi активи, придбанi окремо або в результатi угод з об'єднання бiзнесу, визнаються окремо вiд гудвiла, якщо вони вiдповiдають визначенню нематерiальних активiв i їх справедлива вартiсть може бути ймовiрно визначена.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Нематерiальнi активи з певним строком корисного використання, придбанi окремо або в результатi угод з об'єднання бiзнесу, вiдображаються по фактичних витратах за винятком накопичених сум амортизацiї й збиткiв вiд знецiнення.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Нематерiальнi активи з невизначеним строком корисного використання, придбанi окремо або в результатi угод по об'єднанню бiзнесу, не амортизуються. Тестування нематерiальних активiв на знецiнення проводиться Товариством щонайменше раз у рiк, а також у всiх випадках, коли iснують ознаки їх можливого знецiнення. Нематерiальнi активи з невизначеним строком корисного використання  визнаються по фактичних витратах за винятком збиткiв вiд зменшення корисностi.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ii) Амортизацiя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Амортизацiя розраховується лiнiйним методом i сприяє рiвномiрному визнанню витрат на придбання нематерiального активу протягом строку його корисного використання. Строк корисного використання й метод амортизацiї переглядаються наприкiнцi кожного звiтного року. Змiни застосовуються перспективно.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Амортизацiйнi вiдрахування розраховуються на основi фактичної вартостi активу або iншої її величини, що замiнює, за винятком залишкової вартостi цього активу. Стосовно до нематерiальних активiв, вiдмiнних вiд гудвiла, амортизацiя нараховується з моменту готовностi цих активiв до використання й признається в складi прибутку чи збитку за перiод лiнiйним способом протягом вiдповiдних строкiв їх корисного використання, оскiльки саме такий метод найбiльше точно вiдображає особливостi очiкуваного споживання майбутнiх економiчних вигiд, вкладених у вiдповiднi активи.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Строки корисного використання нематерiальних активiв: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Програмне забезпечення</w:t>
      </w:r>
      <w:r w:rsidRPr="00782A62">
        <w:rPr>
          <w:rFonts w:ascii="Times New Roman CYR" w:hAnsi="Times New Roman CYR" w:cs="Times New Roman CYR"/>
          <w:sz w:val="24"/>
          <w:szCs w:val="24"/>
        </w:rPr>
        <w:tab/>
        <w:t>2 роки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Iншi нематерiальнi активи</w:t>
      </w:r>
      <w:r w:rsidRPr="00782A62">
        <w:rPr>
          <w:rFonts w:ascii="Times New Roman CYR" w:hAnsi="Times New Roman CYR" w:cs="Times New Roman CYR"/>
          <w:sz w:val="24"/>
          <w:szCs w:val="24"/>
        </w:rPr>
        <w:tab/>
        <w:t>2 - 10 рокiв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Лiцензiї Невизначений</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Оренда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lastRenderedPageBreak/>
        <w:t>Товариство як орендар перед визнанням на балансi вiдповiдних активiв i зобов'язань оцiнює чи є договiр в цiлому або його окремi компоненти договором оренди в значеннi, викладеному в МСФЗ 16 "Оренда". Договiр в цiлому або його окремi компоненти є договором оренди, якщо за цим договором передається право контролювати використання iдентифiкованого активу протягом певного перiоду в обмiн на вiдшкодування.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Товариством передбачається два звiльнення вiд визнання - вiдносно оренди активiв з низькою вартiстю i короткострокової оренди. Товариство розглядає можливiсть визнавати малоцiнними об'єкти оренди, справедливою вартiстю менше 150000 грн. При цьому, вартiсний критерiй не застосовується до тих об'єктiв, якi за своєю природою не можуть вважатися малоцiнними. По договорам з такими активами, в момент укладання договору оренднi активи та зобов'язання не визнаються. Витрати вiдносяться на виробничi, адмiнiстративнi або збутовi вiдповiдно до цiльового використання базових активiв Товариством по мiрi нарахування чергових платежiв до сплати.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У разi укладення договорiв оренди активiв вартiстю бiльше 150000 грн. i на термiн бiльше 12 мiсяцiв, Товариство оцiнюватиме зобов'язання з оренди з поступовим зниженням вартостi орендних платежiв, якi ще не здiйсненi на цю дату. Оренднi платежi дисконтуватимуться з використанням процентної ставки, закладеної в договорi оренди, якщо така ставка може бути легко визначена. Якщо таку ставку визначити неможливо, Товариство використовуватиме середню вiдсоткову ставку за кредитами банкiв на початок дiї договору оренди. За вiдсутностi кредитiв братиметься ставка, за якою Товариство могло б отримати кредит у звiтному чи попередньому календарному роцi за результатами переговорiв. Якщо кредити не отримувались i не планувались до отримання, то береться середня за попереднiй мiсяць  процентна ставка за довгостроковими кредитами банку в нацiональнiй валютi для суб'єктiв господарювання, опублiкована на офiцiйному сайтi НБУ https://bank.gov.ua/.</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Якщо договiр оренди передбачає iндексацiю на iндекс iнфляцiї або змiну iнших iстотних умов, передбачених договором, що впливає на розмiр орендних платежiв на 10% i бiльше, то така змiна розглядатиметься як модифiкацiя договору.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Зменшення корисностi нефiнансових активiв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Всi нефiнансовi активи, вiдмiннi вiд вiдстрочених податкiв, оцiнюються станом на кожну звiтну дату на предмет наявностi ознак знецiнення. Вiдновлювальна вартiсть є величина найбiльша iз справедливою вартiстю за вирахуванням витрат на продаж та цiнностi використання. При визначеннi цiнностi використання передбачуванi майбутнi потоки грошових коштiв дисконтуються до їх приведеної вартостi з використанням ставки дисконтування до оподаткування, яка вiдображає поточну ринкову оцiнку тимчасової вартостi грошей та ризику, що притаманний даному активу. Для активу який не генерує потiк грошових коштiв, вiдновлювальна вартiсть визначається по групi активiв, що генерують грошовi кошти, до яких належить актив. Збиток вiд знецiнення визнається, коли балансова вартiсть активу або групи активiв, що генерують потiк грошових коштiв, перевищує його вiдновлювальну вартiсть.</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Усi збитки вiд знецiнення нефiнансових активiв вiдображаються в складi прибутку чи збитку та не пiдлягають вiдновлюванню виключно у випадку коли вiдбулися змiни в оцiнцi, що використовувалися при визначеннi вiдновлювальнiй вартостi. Будь-який збиток вiд знецiнення активу пiдлягає вiдновлюванню в тому об'ємi, при якому балансова вартiсть активу не перевищує таку балансову вартiсть (за вирахуванням амортизацiї та зносу), яка б склалася у разi якби збиток вiд знецiнення не був вiдображений у звiтностi.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Процентнi доходи та витрати й комiсiйнi доходи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Процентнi доходи й витрати вiдображаються в складi прибутку чи збитку з використанням методу ефективної процентної ставки.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Процентнi доходи й витрати включають амортизацiю дисконту або премiї, або iншої рiзницi мiж первiсною вартiстю iнструмента i його вартiстю на дату погашення, визначеної з використанням ефективної процентної ставки.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Iншi комiсiї, а також iншi доходи й витрати вiдносяться до складу прибутку чи збитку на дату надання вiдповiдної послуги.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lastRenderedPageBreak/>
        <w:t>Операцiї в iноземних валютах</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Операцiї в iноземнiй валютi переводяться у функцiональну валюту Товариства за валютними курсами, що дiяли на дати здiйснення операцiй. Грошовi активи й зобов'язання, вираженi в iноземнiй валютi станом на звiтну дату, переводяться у функцiональну валюту за валютним курсом, що дiяв на звiтну дату. Негрошовi активи й зобов'язання, вираженi в iноземнiй валютi i вiдображенi по фактичним витратам, перераховуються у функцiональну валюту за валютним курсом, що дiяв на дату здiйснення операцiї. Курсовi рiзницi, що виникають у результатi перерахунку в iноземну валюту, вiдображаються у складi прибутку чи збитку.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Оподатковування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Сума податку на прибуток включає суму поточного податку за рiк i суму вiдстроченого податку. Податок на прибуток вiдображається в складi прибутку чи збитку в повному обсязi, за винятком сум, що вiдносяться до операцiй, вiдображених у складi iншого сукупного доходу, або до операцiй iз власниками, вiдображених безпосередньо на рахунках власного капiталу, якi, вiдповiдно, входять в склад iншого сукупного прибутку або безпосередньо в склад власного капiталу.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 Поточний податок</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Поточний податок на прибуток розраховується виходячи з передбачуваного розмiру оподатковуваного прибутку за звiтний перiод з урахуванням ставок по податку на прибуток, що дiяли станом на звiтну дату, а також суми зобов'язань, що виникли в результатi уточнення сум податку на прибуток за попереднi звiтнi перiоди.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ii) Вiдстрочений податок</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Вiдстрочений податок вiдображається у вiдношеннi тимчасових рiзниць активiв, що виникають мiж балансовою вартiстю, активiв i зобов'язань, що визначаються для цiлей їх вiдображення в фiнансовiй звiтностi, i їх податковою базою. Вiдстрочений податок не визнається у вiдношеннi наступних тимчасових рiзниць: рiзницi, пов'язанi з вiдображенням  у фiнансовiй звiтностi гудвiла та тi, що  не зменшують базу оподаткування; рiзницi, що вiдносяться до активiв чи зобов'язань, факт первiсного визнання яких не впливає нi на бухгалтерський, нi на оподатковуваний прибуток.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Величина вiдстроченого податку визначається виходячи зi ставок податку на прибуток, якi будуть застосовуватися в майбутньому, у момент вiдновлення тимчасових рiзниць, грунтуючись на дiючих або по сутi введених у дiю законах станом на звiтну дату.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Вимоги по вiдстроченому податку вiдображаються  в тiй мiрi, у якiй iснує ймовiрнiсть того, що в майбутньому буде отриманий оподатковуваний прибуток, достатнiй для покриття тимчасових рiзниць, неприйнятих витрат по податках i невикористаних податкових пiльг. Розмiр вимог по вiдстроченому податку зменшується в тому розмiрi, у якому не iснує бiльше ймовiрностi того, що буде отримана вiдповiдна вигода вiд реалiзацiї податкових вимог.</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Методи подання iнформацiї у фiнансових звiтах</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Представлення грошових потокiв у Звiтi про рух грошових коштiв здiйснюється iз застосуванням прямого методу, згiдно з яким розкривається iнформацiя про основнi види надходжень чи виплат грошових коштiв.4. 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Фiнансування дiяльностi Товариства вiдбувається за рахунок результатiв операцiйної дiяльностi Товариства.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Термiн "робочий капiтал" як такий не використовується для страхових компанiй, якi є фiнансовими установами та надають послуги зi страхування iншого, нiж страхування життя.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Можливi шляхи покращення лiквiдностi - перегляд iснуючої тарифної полiтики, зниження витрат на збут страхових послуг.</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4. 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Фiнансування дiяльностi Товариства вiдбувається за рахунок результатiв операцiйної дiяльностi </w:t>
      </w:r>
      <w:r w:rsidRPr="00782A62">
        <w:rPr>
          <w:rFonts w:ascii="Times New Roman CYR" w:hAnsi="Times New Roman CYR" w:cs="Times New Roman CYR"/>
          <w:sz w:val="24"/>
          <w:szCs w:val="24"/>
        </w:rPr>
        <w:lastRenderedPageBreak/>
        <w:t xml:space="preserve">Товариства.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Термiн "робочий капiтал" як такий не використовується для страхових компанiй, якi є фiнансовими установами та надають послуги зi страхування iншого, нiж страхування життя.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Можливi шляхи покращення лiквiдностi - перегляд iснуючої тарифної полiтики, зниження витрат на збут страхових послуг.</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5. Опис полiтики щодо дослiджень та розробок, сума витрат на дослiдження та розробку за звiтний рiк.</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Дiяльнiсть Товариства пов'язана iз наданням фiнансових послуг, у зв'язку з чим Товариство не проводить дослiджень, iнновацiйної дiяльностi та розробок.</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6. Iнформацiя щодо продуктiв (товарiв або послуг) особи: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 опис продуктiв (товарiв та/або послуг), якi виробляє / надає особа;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здiйснює страхову дiяльнiсть за одержаними у встановленому порядку лiцензiями на здiйснення страхових операцiй, пов'язаних з пропонуванням та наданням захисту вiд наслiдкiв випадкових подiй.</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2) обсяги виробництва (у натуральному та грошовому виразi);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не займається виробництвом;</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3) середньореалiзацiйнi цiни продуктiв;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Цiна послуги страховика залежить вiд розмiру i структури його страхового портфеля, очiкуваного прибутку, якостi iнвестицiйної дiяльностi, розмiру управлiнських витрат;</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4) загальна сума виручки;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Дохiд вiд реалiзацiї страхових послуг складає 709 тис. грн.</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5) загальна сума експорту, частка експорту в загальному обсязi продажiв;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експорт вiдсутнiй. Загальна сума експорту - 0 грн., частка експорту в загальному обсязi наданих послуг - 0 %;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6) залежнiсть вiд сезонних змiн;</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прямої залежностi вiд сезонних змiн немає;</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7) основнi клiєнти (бiльше 5 % у загальнiй сумi виручки);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ДЕРЖАВНА КОМПАНIЯ З ЕКСПОРТУ ТА IМПОРТУ ПРОДУКЦIЇ I ПОСЛУГ ВIЙСЬКОВОГО ТА СПЕЦIАЛЬНОГО ПРИЗНАЧЕННЯ "УКРСПЕЦЕКСПОРТ"</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8) ринки збуту та країни, в яких особою здiйснюється дiяльнiсть;</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надає послуги на внутрiшньому ринку послуг, працює на територiї України;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9) канали збуту;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прямi продажi страхових продуктiв, створених на задоволення потреб клiєнтiв - юридичних осiб, що є в бiльшостi пiдприємствами вiйськово-промислового комплексу України;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10) основнi постачальники та види товарiв та/або послуг, якi вони постачають/надають особi, країни з яких здiйснюється постачання/надання товарiв/послуг;</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у 2 кварталi 2026 року немає основних постачальникiв товарiв та послуг.</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11) особливостi стану розвитку галузi, в якiй здiйснює дiяльнiсть особа;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lastRenderedPageBreak/>
        <w:t>З 01.01.2024 вступив в дiю Закон України "Про страхування" (№ 1909-IX вiд 18.11.2021). Оновленi вимоги до платоспроможностi страховикiв, системи управлiння, системи управлiння ризиками, облiку договорiв 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12) опис технологiй, якi використовує особа у своїй дiяльностi;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у своїй дiяльностi використовує наступнi технологiчнi рiшення: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iнформацiйнi системи, що дозволяють здiйснювати ведення облiку договорiв, пов'язаних зi здiйсненням дiяльностi iз страхування, та iнших операцiй зi страхування, здiйснюється страховиком на постiйнiй основi. Iнформацiйнi системи забезпечують своєчасне, повне, систематичне та хронологiчне вiдображення всiх операцiй зi страхування, якi здiйснює Товариство.</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технологiї аналiзу даних;</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хмарнi технологiї, що забезпечують доступ до даних та iнформацiї, сприяють швидкому розгортанню нових рiшень та оперативно адаптувати iнфраструктуру до потреб Товариства;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 рiшення  пов'язанi iз кiберзахистом, що запобiгають кiбератакам, забезпечують захист iнформацiї.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13) мiсце особи на ринку, на якому вона здiйснює дiяльнiсть;</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має великий досвiд у страхуваннi вантажiв, включно з вантажами вiйськового призначення та планує в подальшому розвивати бiзнес в цьому напрямку. У керiвництва Товариства є розумiння недосяжностi показникiв i характеристик лiдерiв в цьому сегментi, водночас є стратегiчне бачення свого мiсця на ринку та збереження унiкальностi пiдприємства;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14) рiвень конкуренцiя в галузi, основнi конкуренти особи;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Конкуренцiя в галузi висока.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Основнi конкуренти: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ПрАТ "СК "Євроiнс Україна";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ПрАТ "СК "Арсенал-страхування";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ПрАТ "СГ "ТАС".</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15) перспективнi плани розвитку особи;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Стратегiя подальшої дiяльностi Товариства у середньо- та довгостроковiй перспективi буде спрямована на полiпшення фiнансового стану товариства за рахунок корегування за необхiдностi тарифної полiтики, а також утримання та приросту страхового портфелю за умови контролю за витратами Товариства.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7. Опис ризикiв, як притаманнi дiяльностi особи, пiдходи до управлiння ризиками, заходи особи щодо зменшення впливу ризикiв.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Основними ризиками, що впливали на дiяльнiсть ПрАТ "СГУ" у 2 кварталi 2026 року є: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воєнний стан в Українi та вiйськовi дiї в схiдних регiонах України, його невизначенiсть в тривалостi та гостротi;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висока конкуренцiя на ринку фiнансових послуг України;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економiчно нестабiльна ситуацiя в України;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загальне зменшення платоспроможностi юридичних осiб</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Вiдповiдно до Положення про вимоги до системи управлiння страховика (затверджене постановою Правлiння Нацiонального банку України № 194 вiд 27.12.2023 року) в Товариствi запроваджена система управлiння ризиками, що включає Стратегiю управлiння ризиками, Полiтику управлiння ризиками, Декларацiю схильностi до ризикiв, що затвердженi загальними зборами Товариства, що вiдбулися 24.06.2024 (Протокол № 33 вiд 24.06.2024), та  реалiзацiю управлiння ризиками.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Наказом Голови правлiння призначено головного ризик-менеджера Товариства.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При здiйсненнi управлiння ризиками ризики систематизованi за класифiкацiєю:</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lastRenderedPageBreak/>
        <w:t>- андеррайтинговi ризики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ринковi ризики;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ризики дефолту контрагента;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операцiйнi ризики.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Для кожного з ризикiв розробленi та запровадженi модулi розрахунку.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Стратегiя управлiння ризиками мiстить:</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мету управлiння ризиками;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визначення основних принципiв управлiння ризиками;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визначення ризикiв з урахуванням класифiкацiї;</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карту ризикiв;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визначення допустимих меж ризикiв;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опис процедур управлiння ризиками;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опис механiзму виявлення та оцiнки ризикiв;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опис механiзму забезпечення платоспроможностi;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опис розмежування функцiй i вiдповiдальностi у процесi управлiння ризиками, визначення осiб,  вiдповiдальних за перегляд ефективностi стратегiї;</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порядок взаємодiї мiж Наглядовою радою, виконавчим органом, ключовими особами Товариства та головним ризик-менеджером у процесi управлiння ризиками.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забезпечує постiйне пiдвищення квалiфiкацiї головного ризик-менеджера.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Створена в Товариствi Система управлiння ризиками дозволяє здiйснювати постiйний монiторинг визначених ризикiв, пом'якшувати та зменшувати вплив ризикiв на платоспроможнiсть ПрАТ "СГУ", приймати оперативнi рiшення щодо зменшення вразливостi ПрАТ "СГУ" до визначених ризикiв.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8. Стратегiя подальшої дiяльностi особи щонайменше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Стратегiя Товариства щодо подальшого розвитку передбачає дiяльнiсть в секторi українського страхового ринку.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Стратегiя подальшої дiяльностi Товариства на найближчий рiк буде спрямована на полiпшення фiнансового стану Товариства за рахунок корегування за необхiдностi тарифної полiтики, а також утримання та приросту страхового портфелю за умови контролю за витратами Товариства.</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9. Основнi придбання або вiдчуження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Основних придбань або вiдчужень не було. Угоди на придбання у майбутньому основних засобiв станом на 1 квартал 2026 р.  вiдсутнi.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10.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Основними засобами Товариства є споруди, транспортнi засоби, машини та обладнання, меблi та офiсне устаткування, якi знаходяться за мiсцезнаходженням Товариства. Об'єкти оренди та будь-якi значнi </w:t>
      </w:r>
      <w:r w:rsidRPr="00782A62">
        <w:rPr>
          <w:rFonts w:ascii="Times New Roman CYR" w:hAnsi="Times New Roman CYR" w:cs="Times New Roman CYR"/>
          <w:sz w:val="24"/>
          <w:szCs w:val="24"/>
        </w:rPr>
        <w:lastRenderedPageBreak/>
        <w:t>правочини щодо них вiдсутнi. Виробничих потужностей немає. Основнi засоби утримуються за власний рахунок. Екологiчнi питання, що можуть позначитися на використаннi активiв Товариства, вiдсутнi. Планiв капiтального будiвництва, розширення або удосконалення основних засобiв немає..</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11. Проблеми, якi впливають на дiяльнiсть особи, в тому числi ступiнь залежностi вiд законодавчих або економiчних обмежень.</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Основними проблемами, що впливали на дiяльнiсть ПрАТ "СГУ" у 2 кварталi 2026 року, пов'язанi iз повномасштабним вторгненням росiйської федерацiї в Україну. В умовах вiйни вiдбулося суттєве погiршення економiчної ситуацiї, зменшення попиту на страховi послуги з боку юридичних та фiзичних осiб, зниження платоспроможностi  юридичних та фiзичних осiб. Вiйна триває та погiршує iснуючий стан економiки.</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Разом з ти, на дiяльнiсть емiтента впливають:</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замiна регулятора в страховiй сферi - НБУ;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постiйнi законодавчi змiни вiдносно ключових питань у сферi страхування;</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валютнi коливання курсу;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 нестабiльна полiтична та економiчна ситуацiя в Українi.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12. 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Вартiсть укладених, але ще не виконаних договорiв (контрактiв) на кiнець звiтного перiоду - 0 тис. грн.; очiкуванi прибутки вiд виконання цих договорiв - 0 тис. грн.</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13. 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оплати працi, його збiльшення або зменшення вiдносно попереднього року.</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Середньооблiкова чисельнiсть штатних працiвникiв особи - 10,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середня чисельнiсть позаштатних працiвникiв - 0,.</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середня чисельнiсть осiб, якi працюють за сумiсництвом -  3,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чисельнiсть працiвникiв, якi працюють на умовах неповного робочого часу (дня, тижня) - 7,</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 xml:space="preserve">Розмiр фонду оплати працi 1247 тис грн за 2 квартал 2026 року, що на 162 тис грн бiльше показника 2-го кварталу попереднього року у розмірі 1085 тис грн.  </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14. Будь-якi пропозицiї щодо реорганiзацiї з боку третiх осiб, що мали мiсце протягом звiтного перiоду, умови а результати цих пропозицiй.</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Товариство не отримувало  пропозицiй щодо реорганiзацiї з боку третiх осiб у звiтному перiодi.</w:t>
      </w: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P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15. Iнша iнформацiя, яка може бути iстотною для оцiнки стейкхолдерами фiнансового стану та результатiв дiяльностi особи.</w:t>
      </w:r>
    </w:p>
    <w:p w:rsidR="00831C6E"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sidRPr="00782A62">
        <w:rPr>
          <w:rFonts w:ascii="Times New Roman CYR" w:hAnsi="Times New Roman CYR" w:cs="Times New Roman CYR"/>
          <w:sz w:val="24"/>
          <w:szCs w:val="24"/>
        </w:rPr>
        <w:t>З iншою iнформацiєю, яка може бути iстотною для оцiнки фiнансового стану та результатiв дiяльностi Товариства, стейкхолдери можуть ознайомитись на сайтi Товариства за посиланням http://www.sgu.com.ua/stakeholder.html</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831C6E" w:rsidRDefault="00183D7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70"/>
        <w:gridCol w:w="2685"/>
        <w:gridCol w:w="1500"/>
        <w:gridCol w:w="1065"/>
        <w:gridCol w:w="3000"/>
        <w:gridCol w:w="1200"/>
      </w:tblGrid>
      <w:tr w:rsidR="00831C6E" w:rsidRPr="00D3031F">
        <w:trPr>
          <w:trHeight w:val="200"/>
        </w:trPr>
        <w:tc>
          <w:tcPr>
            <w:tcW w:w="47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 з/п</w:t>
            </w:r>
          </w:p>
        </w:tc>
        <w:tc>
          <w:tcPr>
            <w:tcW w:w="268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Дата закінчення строку дії ліцензії (за наявності)</w:t>
            </w:r>
          </w:p>
        </w:tc>
      </w:tr>
      <w:tr w:rsidR="00831C6E" w:rsidRPr="00D3031F">
        <w:trPr>
          <w:trHeight w:val="200"/>
        </w:trPr>
        <w:tc>
          <w:tcPr>
            <w:tcW w:w="47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lastRenderedPageBreak/>
              <w:t>1</w:t>
            </w:r>
          </w:p>
        </w:tc>
        <w:tc>
          <w:tcPr>
            <w:tcW w:w="268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w:t>
            </w:r>
          </w:p>
        </w:tc>
        <w:tc>
          <w:tcPr>
            <w:tcW w:w="1065"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4</w:t>
            </w:r>
          </w:p>
        </w:tc>
        <w:tc>
          <w:tcPr>
            <w:tcW w:w="3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5</w:t>
            </w:r>
          </w:p>
        </w:tc>
        <w:tc>
          <w:tcPr>
            <w:tcW w:w="12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w:t>
            </w:r>
          </w:p>
        </w:tc>
      </w:tr>
      <w:tr w:rsidR="00831C6E" w:rsidRPr="00D3031F">
        <w:trPr>
          <w:trHeight w:val="200"/>
        </w:trPr>
        <w:tc>
          <w:tcPr>
            <w:tcW w:w="47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Дiяльнiсть iз страхування (пряме страхування)</w:t>
            </w:r>
          </w:p>
        </w:tc>
        <w:tc>
          <w:tcPr>
            <w:tcW w:w="15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w:t>
            </w:r>
          </w:p>
        </w:tc>
        <w:tc>
          <w:tcPr>
            <w:tcW w:w="1065"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27.05.2024</w:t>
            </w:r>
          </w:p>
        </w:tc>
        <w:tc>
          <w:tcPr>
            <w:tcW w:w="3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Нацiональний банк України</w:t>
            </w:r>
          </w:p>
        </w:tc>
        <w:tc>
          <w:tcPr>
            <w:tcW w:w="1200"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bl>
    <w:p w:rsidR="00831C6E" w:rsidRDefault="00831C6E">
      <w:pPr>
        <w:widowControl w:val="0"/>
        <w:autoSpaceDE w:val="0"/>
        <w:autoSpaceDN w:val="0"/>
        <w:adjustRightInd w:val="0"/>
        <w:spacing w:after="0" w:line="240" w:lineRule="auto"/>
        <w:rPr>
          <w:rFonts w:ascii="Times New Roman CYR" w:hAnsi="Times New Roman CYR" w:cs="Times New Roman CYR"/>
        </w:rPr>
      </w:pPr>
    </w:p>
    <w:p w:rsidR="00831C6E" w:rsidRDefault="00183D7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831C6E" w:rsidRPr="00D3031F">
        <w:trPr>
          <w:trHeight w:val="200"/>
        </w:trPr>
        <w:tc>
          <w:tcPr>
            <w:tcW w:w="3058" w:type="dxa"/>
            <w:vMerge w:val="restart"/>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Основні засоби, усього, тис. грн</w:t>
            </w:r>
          </w:p>
        </w:tc>
      </w:tr>
      <w:tr w:rsidR="00831C6E" w:rsidRPr="00D3031F">
        <w:trPr>
          <w:trHeight w:val="200"/>
        </w:trPr>
        <w:tc>
          <w:tcPr>
            <w:tcW w:w="3058" w:type="dxa"/>
            <w:vMerge/>
            <w:tcBorders>
              <w:top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 кінець періоду</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8 589</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7 987</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8 589</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7 987</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6 826</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6 563</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6 826</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6 563</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97</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85</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97</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85</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1 666</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1 339</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1 666</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1 339</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r w:rsidR="00831C6E" w:rsidRPr="00D3031F">
        <w:trPr>
          <w:trHeight w:val="200"/>
        </w:trPr>
        <w:tc>
          <w:tcPr>
            <w:tcW w:w="3058"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8 589</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7 987</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8 589</w:t>
            </w:r>
          </w:p>
        </w:tc>
        <w:tc>
          <w:tcPr>
            <w:tcW w:w="1082"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7 987</w:t>
            </w:r>
          </w:p>
        </w:tc>
      </w:tr>
      <w:tr w:rsidR="00831C6E" w:rsidRPr="00D3031F">
        <w:trPr>
          <w:trHeight w:val="200"/>
        </w:trPr>
        <w:tc>
          <w:tcPr>
            <w:tcW w:w="3058"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Строки та умови користування основними засобами (за основними групами):</w:t>
            </w: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 xml:space="preserve">Будинки, споруди, передавальнi пристрої - 40 рокiв; </w:t>
            </w: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 xml:space="preserve">Машини та обладнання - 5 рокiв; </w:t>
            </w: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 xml:space="preserve">Транспортнi засоби - 10 - 20 рокiв; </w:t>
            </w: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 xml:space="preserve">Iнструменти, прилади, iнвентар - 4-5 рокiв; </w:t>
            </w: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Iншi основнi засоби - 12 рокiв.</w:t>
            </w: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 xml:space="preserve">Первiсна вартiсть основних засобiв - 30738 тис. грн. </w:t>
            </w: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 xml:space="preserve">Сума нарахованого зносу - 22751 тис. грн. </w:t>
            </w: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 xml:space="preserve">Ступiнь їх зносу - 74,02 %. </w:t>
            </w: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 xml:space="preserve">Ступiнь їх використання - 100%. </w:t>
            </w: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Суттєвих змiн у вартостi основних засобiв не було.</w:t>
            </w: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Обмежень на використання майна Товариства не має.</w:t>
            </w:r>
          </w:p>
        </w:tc>
      </w:tr>
    </w:tbl>
    <w:p w:rsidR="00831C6E" w:rsidRDefault="00831C6E">
      <w:pPr>
        <w:widowControl w:val="0"/>
        <w:autoSpaceDE w:val="0"/>
        <w:autoSpaceDN w:val="0"/>
        <w:adjustRightInd w:val="0"/>
        <w:spacing w:after="0" w:line="240" w:lineRule="auto"/>
        <w:rPr>
          <w:rFonts w:ascii="Times New Roman CYR" w:hAnsi="Times New Roman CYR" w:cs="Times New Roman CYR"/>
        </w:rPr>
      </w:pPr>
    </w:p>
    <w:p w:rsidR="00831C6E" w:rsidRDefault="00183D7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831C6E" w:rsidRPr="00D3031F">
        <w:trPr>
          <w:trHeight w:val="2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Дата погашення</w:t>
            </w:r>
          </w:p>
        </w:tc>
      </w:tr>
      <w:tr w:rsidR="00831C6E" w:rsidRPr="00D3031F">
        <w:trPr>
          <w:trHeight w:val="2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r>
      <w:tr w:rsidR="00831C6E" w:rsidRPr="00D3031F">
        <w:trPr>
          <w:trHeight w:val="2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3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r>
      <w:tr w:rsidR="00831C6E" w:rsidRPr="00D3031F">
        <w:trPr>
          <w:trHeight w:val="3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831C6E" w:rsidRPr="00D3031F" w:rsidRDefault="00831C6E">
            <w:pPr>
              <w:widowControl w:val="0"/>
              <w:autoSpaceDE w:val="0"/>
              <w:autoSpaceDN w:val="0"/>
              <w:adjustRightInd w:val="0"/>
              <w:spacing w:after="0" w:line="240" w:lineRule="auto"/>
              <w:rPr>
                <w:rFonts w:ascii="Times New Roman CYR" w:hAnsi="Times New Roman CYR" w:cs="Times New Roman CYR"/>
              </w:rPr>
            </w:pPr>
          </w:p>
        </w:tc>
      </w:tr>
      <w:tr w:rsidR="00831C6E" w:rsidRPr="00D3031F">
        <w:trPr>
          <w:trHeight w:val="3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r>
      <w:tr w:rsidR="00831C6E" w:rsidRPr="00D3031F">
        <w:trPr>
          <w:trHeight w:val="3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 xml:space="preserve">за іпотечними цінними паперами (за </w:t>
            </w:r>
            <w:r w:rsidRPr="00D3031F">
              <w:rPr>
                <w:rFonts w:ascii="Times New Roman CYR" w:hAnsi="Times New Roman CYR" w:cs="Times New Roman CYR"/>
              </w:rPr>
              <w:lastRenderedPageBreak/>
              <w:t>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lastRenderedPageBreak/>
              <w:t>X</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r>
      <w:tr w:rsidR="00831C6E" w:rsidRPr="00D3031F">
        <w:trPr>
          <w:trHeight w:val="3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lastRenderedPageBreak/>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r>
      <w:tr w:rsidR="00831C6E" w:rsidRPr="00D3031F">
        <w:trPr>
          <w:trHeight w:val="3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r>
      <w:tr w:rsidR="00831C6E" w:rsidRPr="00D3031F">
        <w:trPr>
          <w:trHeight w:val="3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r>
      <w:tr w:rsidR="00831C6E" w:rsidRPr="00D3031F">
        <w:trPr>
          <w:trHeight w:val="3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r>
      <w:tr w:rsidR="00831C6E" w:rsidRPr="00D3031F">
        <w:trPr>
          <w:trHeight w:val="3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15</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r>
      <w:tr w:rsidR="00831C6E" w:rsidRPr="00D3031F">
        <w:trPr>
          <w:trHeight w:val="300"/>
        </w:trPr>
        <w:tc>
          <w:tcPr>
            <w:tcW w:w="378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податок на прибуток</w:t>
            </w:r>
          </w:p>
        </w:tc>
        <w:tc>
          <w:tcPr>
            <w:tcW w:w="1440" w:type="dxa"/>
            <w:tcBorders>
              <w:top w:val="single" w:sz="6" w:space="0" w:color="auto"/>
              <w:left w:val="single" w:sz="6" w:space="0" w:color="auto"/>
              <w:bottom w:val="single" w:sz="6" w:space="0" w:color="auto"/>
              <w:right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15</w:t>
            </w:r>
          </w:p>
        </w:tc>
        <w:tc>
          <w:tcPr>
            <w:tcW w:w="194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3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r>
      <w:tr w:rsidR="00831C6E" w:rsidRPr="00D3031F">
        <w:trPr>
          <w:trHeight w:val="3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1 123</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r>
      <w:tr w:rsidR="00831C6E" w:rsidRPr="00D3031F">
        <w:trPr>
          <w:trHeight w:val="300"/>
        </w:trPr>
        <w:tc>
          <w:tcPr>
            <w:tcW w:w="378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10</w:t>
            </w:r>
          </w:p>
        </w:tc>
        <w:tc>
          <w:tcPr>
            <w:tcW w:w="194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300"/>
        </w:trPr>
        <w:tc>
          <w:tcPr>
            <w:tcW w:w="378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1 113</w:t>
            </w:r>
          </w:p>
        </w:tc>
        <w:tc>
          <w:tcPr>
            <w:tcW w:w="194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300"/>
        </w:trPr>
        <w:tc>
          <w:tcPr>
            <w:tcW w:w="378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1 138</w:t>
            </w:r>
          </w:p>
        </w:tc>
        <w:tc>
          <w:tcPr>
            <w:tcW w:w="194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X</w:t>
            </w:r>
          </w:p>
        </w:tc>
      </w:tr>
    </w:tbl>
    <w:p w:rsidR="00831C6E" w:rsidRDefault="00831C6E">
      <w:pPr>
        <w:widowControl w:val="0"/>
        <w:autoSpaceDE w:val="0"/>
        <w:autoSpaceDN w:val="0"/>
        <w:adjustRightInd w:val="0"/>
        <w:spacing w:after="0" w:line="240" w:lineRule="auto"/>
        <w:rPr>
          <w:rFonts w:ascii="Times New Roman CYR" w:hAnsi="Times New Roman CYR" w:cs="Times New Roman CYR"/>
        </w:rPr>
      </w:pPr>
    </w:p>
    <w:p w:rsidR="00831C6E" w:rsidRDefault="00183D7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Публiчне акцiонерне товариство "Нацiональний депозитарiй України"</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Акціонерне товариство</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30370711</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04107, Україна, м.Київ, вул. Якубенкiвська, 7-г</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(044) 363-04-00</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63.11 - Оброблення даних, розмiщення iнформацiї на веб-вузлах i пов'язана з ними дiяльнiсть</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62.09 - Iнша дiяльнiсть у сферi iнформацiйних технологiй i комп'ютерних систем</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62.02 - Консультування з питань iнформатизацiї</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Надає депозитарнi послуги з обслуговування випуску цiнних паперiв Товариства. Дiє без лiцензiї на пiдставi Правил Центрального депозитарiю України</w:t>
            </w:r>
          </w:p>
        </w:tc>
      </w:tr>
    </w:tbl>
    <w:p w:rsidR="00831C6E" w:rsidRDefault="00831C6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 xml:space="preserve">ДЕРЖАВНА УСТАНОВА "АГЕНТСТВО З РОЗВИТКУ </w:t>
            </w:r>
            <w:r w:rsidRPr="00D3031F">
              <w:rPr>
                <w:rFonts w:ascii="Times New Roman CYR" w:hAnsi="Times New Roman CYR" w:cs="Times New Roman CYR"/>
              </w:rPr>
              <w:lastRenderedPageBreak/>
              <w:t>IНФРАСТРУКТУРИ ФОНДОВОГО РИНКУ УКРАЇНИ"</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lastRenderedPageBreak/>
              <w:t>РНОКПП</w:t>
            </w:r>
          </w:p>
        </w:tc>
        <w:tc>
          <w:tcPr>
            <w:tcW w:w="4000"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Державна організація (установа, заклад)</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21676262</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03150, Україна, м. Київ, вул. Антоновича, 51, офiс 1206</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(044) 287-56-70</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63.11 - Оброблення даних, розмiщення iнформацiї на веб-вузлах i пов'язана з ними дiяльнiсть</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84.13 - Регулювання та сприяння ефективному веденню економiчної дiяльностi</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62.02 - Консультування з питань iнформатизацiї</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Дiє без лiцензiї. Надання послуг з оприлюднення та подання до НКЦПФР регульованої iнформацiї</w:t>
            </w:r>
          </w:p>
        </w:tc>
      </w:tr>
    </w:tbl>
    <w:p w:rsidR="00831C6E" w:rsidRDefault="00831C6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Товариство з обмеженою вiдповiдальнiстю "РЕЙТИНГОВЕ АГЕНТСТВО "ЕКСПЕРТ-РЕЙТИНГ"</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Товариство з обмеженою відповідальністю</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34819244</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04073, Україна, м. Київ, провулок Куренiвський, 15</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5</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Нацiональна комiсiя з цiнних паперiв та фондового ринку України</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09.06.2010</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(044) 227-60-74</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70.22 - Консультування з питань комерцiйної дiяльностi й керування</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82.30 - Органiзування конгресiв i торговельних виставок</w:t>
            </w:r>
          </w:p>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63.91 - Дiяльнiсть iнформацiйних агентств</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Оновлення рейтингу фiнансової стiйкостi страховика/кредитний рейтинг</w:t>
            </w:r>
          </w:p>
        </w:tc>
      </w:tr>
    </w:tbl>
    <w:p w:rsidR="00831C6E" w:rsidRDefault="00831C6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 xml:space="preserve">Товариство з обмеженою </w:t>
            </w:r>
            <w:r w:rsidRPr="00D3031F">
              <w:rPr>
                <w:rFonts w:ascii="Times New Roman CYR" w:hAnsi="Times New Roman CYR" w:cs="Times New Roman CYR"/>
              </w:rPr>
              <w:lastRenderedPageBreak/>
              <w:t>вiдповiдальнiстю "Аудиторська фiрма "Капiтал Плюс"</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lastRenderedPageBreak/>
              <w:t>РНОКПП</w:t>
            </w:r>
          </w:p>
        </w:tc>
        <w:tc>
          <w:tcPr>
            <w:tcW w:w="4000"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Товариство з обмеженою відповідальністю</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30371406</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04080, Україна, м. Київ, вул. Кирилiвська (Фрунзе), буд. 14-18, кв.49</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(044) 502-67-18</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62.20 - Дiяльнiсть у сферi бухгалтерського облiку й аудиту; консультування з питань оподаткування</w:t>
            </w:r>
          </w:p>
        </w:tc>
      </w:tr>
      <w:tr w:rsidR="00831C6E" w:rsidRPr="00D3031F">
        <w:trPr>
          <w:trHeight w:val="200"/>
        </w:trPr>
        <w:tc>
          <w:tcPr>
            <w:tcW w:w="6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Послуги з проведення обов'язкового аудиту фiнансової звiтностi</w:t>
            </w:r>
          </w:p>
        </w:tc>
      </w:tr>
    </w:tbl>
    <w:p w:rsidR="00831C6E" w:rsidRDefault="00831C6E">
      <w:pPr>
        <w:widowControl w:val="0"/>
        <w:autoSpaceDE w:val="0"/>
        <w:autoSpaceDN w:val="0"/>
        <w:adjustRightInd w:val="0"/>
        <w:spacing w:after="0" w:line="240" w:lineRule="auto"/>
        <w:rPr>
          <w:rFonts w:ascii="Times New Roman CYR" w:hAnsi="Times New Roman CYR" w:cs="Times New Roman CYR"/>
        </w:rPr>
      </w:pPr>
    </w:p>
    <w:p w:rsidR="00831C6E" w:rsidRDefault="00831C6E">
      <w:pPr>
        <w:widowControl w:val="0"/>
        <w:autoSpaceDE w:val="0"/>
        <w:autoSpaceDN w:val="0"/>
        <w:adjustRightInd w:val="0"/>
        <w:spacing w:after="0" w:line="240" w:lineRule="auto"/>
        <w:rPr>
          <w:rFonts w:ascii="Times New Roman CYR" w:hAnsi="Times New Roman CYR" w:cs="Times New Roman CYR"/>
        </w:rPr>
      </w:pPr>
    </w:p>
    <w:p w:rsidR="00831C6E" w:rsidRDefault="00831C6E">
      <w:pPr>
        <w:widowControl w:val="0"/>
        <w:autoSpaceDE w:val="0"/>
        <w:autoSpaceDN w:val="0"/>
        <w:adjustRightInd w:val="0"/>
        <w:spacing w:after="0" w:line="240" w:lineRule="auto"/>
        <w:rPr>
          <w:rFonts w:ascii="Times New Roman CYR" w:hAnsi="Times New Roman CYR" w:cs="Times New Roman CYR"/>
        </w:rPr>
        <w:sectPr w:rsidR="00831C6E">
          <w:pgSz w:w="12240" w:h="15840"/>
          <w:pgMar w:top="570" w:right="720" w:bottom="570" w:left="720" w:header="708" w:footer="708" w:gutter="0"/>
          <w:cols w:space="720"/>
          <w:noEndnote/>
        </w:sectPr>
      </w:pPr>
    </w:p>
    <w:p w:rsidR="00831C6E"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 Інформація щодо капіталу та цінних паперів</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Цінні папери</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831C6E" w:rsidRPr="00D3031F">
        <w:trPr>
          <w:trHeight w:val="200"/>
        </w:trPr>
        <w:tc>
          <w:tcPr>
            <w:tcW w:w="12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Частка у статутному капіталі (у відсотках)</w:t>
            </w:r>
          </w:p>
        </w:tc>
      </w:tr>
      <w:tr w:rsidR="00831C6E" w:rsidRPr="00D3031F">
        <w:trPr>
          <w:trHeight w:val="200"/>
        </w:trPr>
        <w:tc>
          <w:tcPr>
            <w:tcW w:w="12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10</w:t>
            </w:r>
          </w:p>
        </w:tc>
      </w:tr>
      <w:tr w:rsidR="00831C6E" w:rsidRPr="00D3031F">
        <w:trPr>
          <w:trHeight w:val="200"/>
        </w:trPr>
        <w:tc>
          <w:tcPr>
            <w:tcW w:w="125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01.07.2025</w:t>
            </w:r>
          </w:p>
        </w:tc>
        <w:tc>
          <w:tcPr>
            <w:tcW w:w="135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18/1/2025</w:t>
            </w:r>
          </w:p>
        </w:tc>
        <w:tc>
          <w:tcPr>
            <w:tcW w:w="24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Нацiональна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UA4000086326</w:t>
            </w:r>
          </w:p>
        </w:tc>
        <w:tc>
          <w:tcPr>
            <w:tcW w:w="16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3 200</w:t>
            </w:r>
          </w:p>
        </w:tc>
        <w:tc>
          <w:tcPr>
            <w:tcW w:w="12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10 000</w:t>
            </w:r>
          </w:p>
        </w:tc>
        <w:tc>
          <w:tcPr>
            <w:tcW w:w="14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32 000 000</w:t>
            </w:r>
          </w:p>
        </w:tc>
        <w:tc>
          <w:tcPr>
            <w:tcW w:w="17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100</w:t>
            </w:r>
          </w:p>
        </w:tc>
      </w:tr>
      <w:tr w:rsidR="00831C6E" w:rsidRPr="00D3031F">
        <w:trPr>
          <w:trHeight w:val="200"/>
        </w:trPr>
        <w:tc>
          <w:tcPr>
            <w:tcW w:w="2600" w:type="dxa"/>
            <w:gridSpan w:val="2"/>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 xml:space="preserve">Торгiвля акцiями на внутрiшнiх та зовнiшнiх ринках не здiйснювалася. Фактiв допуску / скасування допуску цiнних паперiв до торгiв на регульованому фондовому ринку не було. </w:t>
            </w:r>
          </w:p>
          <w:p w:rsidR="00831C6E" w:rsidRPr="00D3031F" w:rsidRDefault="00831C6E">
            <w:pPr>
              <w:widowControl w:val="0"/>
              <w:autoSpaceDE w:val="0"/>
              <w:autoSpaceDN w:val="0"/>
              <w:adjustRightInd w:val="0"/>
              <w:spacing w:after="0" w:line="240" w:lineRule="auto"/>
              <w:jc w:val="both"/>
              <w:rPr>
                <w:rFonts w:ascii="Times New Roman CYR" w:hAnsi="Times New Roman CYR" w:cs="Times New Roman CYR"/>
              </w:rPr>
            </w:pP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Свiдоцтво про реєстрацiю випуску акцiй вiд 06 вересня 2010 року №734/1/10, яке видано Державною комiсiєю з цiнних паперiв та фондового ринку анульовано. Було зареєстровано випуск акцiй при збiльшеннi розмiру статутного капiталу шляхом пiдвищення номiнальної вартостi акцiй та видане свiдоцтво про реєстрацiю випуску акцiй вiд 01 липня 2025 р. №18/1/2025</w:t>
            </w:r>
          </w:p>
          <w:p w:rsidR="00831C6E" w:rsidRPr="00D3031F" w:rsidRDefault="00831C6E">
            <w:pPr>
              <w:widowControl w:val="0"/>
              <w:autoSpaceDE w:val="0"/>
              <w:autoSpaceDN w:val="0"/>
              <w:adjustRightInd w:val="0"/>
              <w:spacing w:after="0" w:line="240" w:lineRule="auto"/>
              <w:jc w:val="both"/>
              <w:rPr>
                <w:rFonts w:ascii="Times New Roman CYR" w:hAnsi="Times New Roman CYR" w:cs="Times New Roman CYR"/>
              </w:rPr>
            </w:pP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Додаткової емiсiї в звiтному перiодi не було.</w:t>
            </w:r>
          </w:p>
        </w:tc>
      </w:tr>
    </w:tbl>
    <w:p w:rsidR="00831C6E" w:rsidRDefault="00831C6E">
      <w:pPr>
        <w:widowControl w:val="0"/>
        <w:autoSpaceDE w:val="0"/>
        <w:autoSpaceDN w:val="0"/>
        <w:adjustRightInd w:val="0"/>
        <w:spacing w:after="0" w:line="240" w:lineRule="auto"/>
        <w:rPr>
          <w:rFonts w:ascii="Times New Roman CYR" w:hAnsi="Times New Roman CYR" w:cs="Times New Roman CYR"/>
        </w:rPr>
      </w:pP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наявність у власності працівників особи акцій у розмірі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2000"/>
        <w:gridCol w:w="2000"/>
        <w:gridCol w:w="2000"/>
        <w:gridCol w:w="2000"/>
        <w:gridCol w:w="1700"/>
        <w:gridCol w:w="1700"/>
      </w:tblGrid>
      <w:tr w:rsidR="00831C6E" w:rsidRPr="00D3031F">
        <w:trPr>
          <w:trHeight w:val="300"/>
        </w:trPr>
        <w:tc>
          <w:tcPr>
            <w:tcW w:w="4000" w:type="dxa"/>
            <w:vMerge w:val="restart"/>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Ім'я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Кількість за типами акцій</w:t>
            </w:r>
          </w:p>
        </w:tc>
      </w:tr>
      <w:tr w:rsidR="00831C6E" w:rsidRPr="00D3031F">
        <w:trPr>
          <w:trHeight w:val="300"/>
        </w:trPr>
        <w:tc>
          <w:tcPr>
            <w:tcW w:w="4000" w:type="dxa"/>
            <w:vMerge/>
            <w:tcBorders>
              <w:top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привілейовані іменні</w:t>
            </w:r>
          </w:p>
        </w:tc>
      </w:tr>
      <w:tr w:rsidR="00831C6E" w:rsidRPr="00D3031F">
        <w:trPr>
          <w:trHeight w:val="300"/>
        </w:trPr>
        <w:tc>
          <w:tcPr>
            <w:tcW w:w="40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w:t>
            </w:r>
          </w:p>
        </w:tc>
        <w:tc>
          <w:tcPr>
            <w:tcW w:w="17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7</w:t>
            </w:r>
          </w:p>
        </w:tc>
      </w:tr>
      <w:tr w:rsidR="00831C6E" w:rsidRPr="00D3031F">
        <w:trPr>
          <w:trHeight w:val="300"/>
        </w:trPr>
        <w:tc>
          <w:tcPr>
            <w:tcW w:w="4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Гусєва Iрина Олександрiвна</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1 000</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10</w:t>
            </w:r>
          </w:p>
        </w:tc>
        <w:tc>
          <w:tcPr>
            <w:tcW w:w="17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1 000</w:t>
            </w:r>
          </w:p>
        </w:tc>
        <w:tc>
          <w:tcPr>
            <w:tcW w:w="17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r w:rsidR="00831C6E" w:rsidRPr="00D3031F">
        <w:trPr>
          <w:trHeight w:val="300"/>
        </w:trPr>
        <w:tc>
          <w:tcPr>
            <w:tcW w:w="4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Гладуш Янiна Вiкторiвна</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1 800</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18</w:t>
            </w:r>
          </w:p>
        </w:tc>
        <w:tc>
          <w:tcPr>
            <w:tcW w:w="17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1 800</w:t>
            </w:r>
          </w:p>
        </w:tc>
        <w:tc>
          <w:tcPr>
            <w:tcW w:w="17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r w:rsidR="00831C6E" w:rsidRPr="00D3031F">
        <w:trPr>
          <w:trHeight w:val="300"/>
        </w:trPr>
        <w:tc>
          <w:tcPr>
            <w:tcW w:w="40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831C6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2 800</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28</w:t>
            </w:r>
          </w:p>
        </w:tc>
        <w:tc>
          <w:tcPr>
            <w:tcW w:w="17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2 800</w:t>
            </w:r>
          </w:p>
        </w:tc>
        <w:tc>
          <w:tcPr>
            <w:tcW w:w="17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bl>
    <w:p w:rsidR="00831C6E" w:rsidRDefault="00831C6E">
      <w:pPr>
        <w:widowControl w:val="0"/>
        <w:autoSpaceDE w:val="0"/>
        <w:autoSpaceDN w:val="0"/>
        <w:adjustRightInd w:val="0"/>
        <w:spacing w:after="0" w:line="240" w:lineRule="auto"/>
        <w:rPr>
          <w:rFonts w:ascii="Times New Roman CYR" w:hAnsi="Times New Roman CYR" w:cs="Times New Roman CYR"/>
        </w:rPr>
      </w:pPr>
    </w:p>
    <w:p w:rsidR="00831C6E" w:rsidRDefault="00782A6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br w:type="page"/>
      </w:r>
      <w:r w:rsidR="00183D75">
        <w:rPr>
          <w:rFonts w:ascii="Times New Roman CYR" w:hAnsi="Times New Roman CYR" w:cs="Times New Roman CYR"/>
          <w:b/>
          <w:bCs/>
          <w:sz w:val="24"/>
          <w:szCs w:val="24"/>
        </w:rPr>
        <w:lastRenderedPageBreak/>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000"/>
        <w:gridCol w:w="3500"/>
        <w:gridCol w:w="2400"/>
      </w:tblGrid>
      <w:tr w:rsidR="00831C6E" w:rsidRPr="00D3031F">
        <w:trPr>
          <w:trHeight w:val="300"/>
        </w:trPr>
        <w:tc>
          <w:tcPr>
            <w:tcW w:w="1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Вид цінних паперів</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Характеристика обмеження</w:t>
            </w:r>
          </w:p>
        </w:tc>
        <w:tc>
          <w:tcPr>
            <w:tcW w:w="24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Строк обмеження</w:t>
            </w:r>
          </w:p>
        </w:tc>
      </w:tr>
      <w:tr w:rsidR="00831C6E" w:rsidRPr="00D3031F">
        <w:trPr>
          <w:trHeight w:val="300"/>
        </w:trPr>
        <w:tc>
          <w:tcPr>
            <w:tcW w:w="1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5</w:t>
            </w:r>
          </w:p>
        </w:tc>
        <w:tc>
          <w:tcPr>
            <w:tcW w:w="3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w:t>
            </w:r>
          </w:p>
        </w:tc>
        <w:tc>
          <w:tcPr>
            <w:tcW w:w="24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7</w:t>
            </w:r>
          </w:p>
        </w:tc>
      </w:tr>
      <w:tr w:rsidR="00831C6E" w:rsidRPr="00D3031F">
        <w:trPr>
          <w:trHeight w:val="300"/>
        </w:trPr>
        <w:tc>
          <w:tcPr>
            <w:tcW w:w="15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01.07.2025</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Нацiональна комiсiя з цiнних паперiв та фондового ринку</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UA4000086326</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w:t>
            </w:r>
          </w:p>
        </w:tc>
        <w:tc>
          <w:tcPr>
            <w:tcW w:w="35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Обмеження вiдсутнi</w:t>
            </w:r>
          </w:p>
        </w:tc>
        <w:tc>
          <w:tcPr>
            <w:tcW w:w="24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w:t>
            </w:r>
          </w:p>
        </w:tc>
      </w:tr>
      <w:tr w:rsidR="00831C6E" w:rsidRPr="00D3031F">
        <w:trPr>
          <w:trHeight w:val="300"/>
        </w:trPr>
        <w:tc>
          <w:tcPr>
            <w:tcW w:w="15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Додаткова інформація</w:t>
            </w:r>
          </w:p>
        </w:tc>
        <w:tc>
          <w:tcPr>
            <w:tcW w:w="13900" w:type="dxa"/>
            <w:gridSpan w:val="6"/>
            <w:tcBorders>
              <w:top w:val="single" w:sz="6" w:space="0" w:color="auto"/>
              <w:left w:val="single" w:sz="6" w:space="0" w:color="auto"/>
              <w:bottom w:val="single" w:sz="6" w:space="0" w:color="auto"/>
            </w:tcBorders>
          </w:tcPr>
          <w:p w:rsidR="00831C6E" w:rsidRPr="00D3031F" w:rsidRDefault="00831C6E">
            <w:pPr>
              <w:widowControl w:val="0"/>
              <w:autoSpaceDE w:val="0"/>
              <w:autoSpaceDN w:val="0"/>
              <w:adjustRightInd w:val="0"/>
              <w:spacing w:after="0" w:line="240" w:lineRule="auto"/>
              <w:rPr>
                <w:rFonts w:ascii="Times New Roman CYR" w:hAnsi="Times New Roman CYR" w:cs="Times New Roman CYR"/>
              </w:rPr>
            </w:pPr>
          </w:p>
        </w:tc>
      </w:tr>
    </w:tbl>
    <w:p w:rsidR="00831C6E" w:rsidRDefault="00831C6E">
      <w:pPr>
        <w:widowControl w:val="0"/>
        <w:autoSpaceDE w:val="0"/>
        <w:autoSpaceDN w:val="0"/>
        <w:adjustRightInd w:val="0"/>
        <w:spacing w:after="0" w:line="240" w:lineRule="auto"/>
        <w:rPr>
          <w:rFonts w:ascii="Times New Roman CYR" w:hAnsi="Times New Roman CYR" w:cs="Times New Roman CYR"/>
        </w:rPr>
      </w:pP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831C6E" w:rsidRPr="00D3031F">
        <w:trPr>
          <w:trHeight w:val="300"/>
        </w:trPr>
        <w:tc>
          <w:tcPr>
            <w:tcW w:w="1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831C6E" w:rsidRPr="00D3031F">
        <w:trPr>
          <w:trHeight w:val="300"/>
        </w:trPr>
        <w:tc>
          <w:tcPr>
            <w:tcW w:w="150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8</w:t>
            </w:r>
          </w:p>
        </w:tc>
      </w:tr>
      <w:tr w:rsidR="00831C6E" w:rsidRPr="00D3031F">
        <w:trPr>
          <w:trHeight w:val="300"/>
        </w:trPr>
        <w:tc>
          <w:tcPr>
            <w:tcW w:w="15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01.07.2025</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18/1/2025</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UA4000086326</w:t>
            </w:r>
          </w:p>
        </w:tc>
        <w:tc>
          <w:tcPr>
            <w:tcW w:w="20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10 000</w:t>
            </w:r>
          </w:p>
        </w:tc>
        <w:tc>
          <w:tcPr>
            <w:tcW w:w="21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32 000 000</w:t>
            </w:r>
          </w:p>
        </w:tc>
        <w:tc>
          <w:tcPr>
            <w:tcW w:w="15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10 000</w:t>
            </w:r>
          </w:p>
        </w:tc>
        <w:tc>
          <w:tcPr>
            <w:tcW w:w="15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0</w:t>
            </w:r>
          </w:p>
        </w:tc>
      </w:tr>
      <w:tr w:rsidR="00831C6E" w:rsidRPr="00D3031F">
        <w:trPr>
          <w:trHeight w:val="300"/>
        </w:trPr>
        <w:tc>
          <w:tcPr>
            <w:tcW w:w="150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rPr>
                <w:rFonts w:ascii="Times New Roman CYR" w:hAnsi="Times New Roman CYR" w:cs="Times New Roman CYR"/>
              </w:rPr>
            </w:pPr>
            <w:r w:rsidRPr="00D3031F">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Cтрок обмеження: Вiдсутнiй</w:t>
            </w:r>
          </w:p>
          <w:p w:rsidR="00831C6E" w:rsidRPr="00D3031F" w:rsidRDefault="00183D75">
            <w:pPr>
              <w:widowControl w:val="0"/>
              <w:autoSpaceDE w:val="0"/>
              <w:autoSpaceDN w:val="0"/>
              <w:adjustRightInd w:val="0"/>
              <w:spacing w:after="0" w:line="240" w:lineRule="auto"/>
              <w:jc w:val="both"/>
              <w:rPr>
                <w:rFonts w:ascii="Times New Roman CYR" w:hAnsi="Times New Roman CYR" w:cs="Times New Roman CYR"/>
              </w:rPr>
            </w:pPr>
            <w:r w:rsidRPr="00D3031F">
              <w:rPr>
                <w:rFonts w:ascii="Times New Roman CYR" w:hAnsi="Times New Roman CYR" w:cs="Times New Roman CYR"/>
              </w:rPr>
              <w:t>Характеристика обмеження: Обмеження вiдсутнi</w:t>
            </w:r>
          </w:p>
        </w:tc>
      </w:tr>
    </w:tbl>
    <w:p w:rsidR="00831C6E" w:rsidRDefault="00831C6E">
      <w:pPr>
        <w:widowControl w:val="0"/>
        <w:autoSpaceDE w:val="0"/>
        <w:autoSpaceDN w:val="0"/>
        <w:adjustRightInd w:val="0"/>
        <w:spacing w:after="0" w:line="240" w:lineRule="auto"/>
        <w:rPr>
          <w:rFonts w:ascii="Times New Roman CYR" w:hAnsi="Times New Roman CYR" w:cs="Times New Roman CYR"/>
        </w:rPr>
      </w:pPr>
    </w:p>
    <w:p w:rsidR="00831C6E" w:rsidRDefault="00831C6E">
      <w:pPr>
        <w:widowControl w:val="0"/>
        <w:autoSpaceDE w:val="0"/>
        <w:autoSpaceDN w:val="0"/>
        <w:adjustRightInd w:val="0"/>
        <w:spacing w:after="0" w:line="240" w:lineRule="auto"/>
        <w:rPr>
          <w:rFonts w:ascii="Times New Roman CYR" w:hAnsi="Times New Roman CYR" w:cs="Times New Roman CYR"/>
        </w:rPr>
        <w:sectPr w:rsidR="00831C6E">
          <w:pgSz w:w="16837" w:h="11905" w:orient="landscape"/>
          <w:pgMar w:top="570" w:right="720" w:bottom="570" w:left="720" w:header="708" w:footer="708" w:gutter="0"/>
          <w:cols w:space="720"/>
          <w:noEndnote/>
        </w:sectPr>
      </w:pPr>
    </w:p>
    <w:p w:rsidR="00831C6E" w:rsidRDefault="00183D7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831C6E" w:rsidRDefault="00183D7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Проміжна фінансова звітність</w:t>
      </w:r>
    </w:p>
    <w:p w:rsidR="00782A62"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на основi таксономiї розмiщена на http://www.sgu.com.ua/stakeholder.html</w:t>
      </w:r>
    </w:p>
    <w:p w:rsidR="00782A62"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пряме завантаження фiнансової звiтнiстi </w:t>
      </w:r>
    </w:p>
    <w:p w:rsidR="00782A62"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http://www.sgu.com.ua/pdf/stakeholder/2026/2q2026_33832772.zip</w:t>
      </w:r>
    </w:p>
    <w:p w:rsidR="00782A62"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Назва файлу (архiву) 2q2026_33832772.zip</w:t>
      </w:r>
    </w:p>
    <w:p w:rsidR="00782A62"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файлу (архiву) 65.3 КБ (66 927 байтiв)</w:t>
      </w:r>
    </w:p>
    <w:p w:rsidR="00782A62"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SHA256 контрольна сума: </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FB666F1C99E7CBEEA12E66BB0FAFA4547AFE74B8E516D7248293BB66B0F48023</w:t>
      </w:r>
    </w:p>
    <w:p w:rsidR="00782A62" w:rsidRDefault="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URL-адреса вебсторінки Центру збору фінансової звітності, за якою розміщено електронний файл фінансової звітності: Фiнансова звiтнiсть на основi таксономiї розмiщена на https://portal.frs.gov.ua/PublicData/PublicDataSubmissionPack.aspx?submission_pack_version_id=232544 Посилання на пряме завантаження фiнансової звiтнiстi  </w:t>
      </w:r>
    </w:p>
    <w:p w:rsidR="00782A62"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https://portal.frs.gov.ua/PublicData/ViewLastPublicDataUpload.aspx?formset_instance_id=264156&amp;submission_pack_version_id=232544&amp;entity_id=-1</w:t>
      </w:r>
    </w:p>
    <w:p w:rsidR="00782A62"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Iм'я файлу  2q2026_33832772.html</w:t>
      </w:r>
    </w:p>
    <w:p w:rsidR="00782A62"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файлу 289 КБ (295 974  байтiв)</w:t>
      </w:r>
    </w:p>
    <w:p w:rsidR="00782A62"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SHA256 контрольна сума:  </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85B3B8CF4DB8072AE64D0F2BF138F14B2A94569B9544A5CF5C3A37D88FC579A5</w:t>
      </w:r>
    </w:p>
    <w:p w:rsidR="00831C6E" w:rsidRDefault="00831C6E">
      <w:pPr>
        <w:widowControl w:val="0"/>
        <w:autoSpaceDE w:val="0"/>
        <w:autoSpaceDN w:val="0"/>
        <w:adjustRightInd w:val="0"/>
        <w:spacing w:after="0" w:line="240" w:lineRule="auto"/>
        <w:rPr>
          <w:rFonts w:ascii="Times New Roman CYR" w:hAnsi="Times New Roman CYR" w:cs="Times New Roman CYR"/>
          <w:sz w:val="24"/>
          <w:szCs w:val="24"/>
        </w:rPr>
      </w:pPr>
    </w:p>
    <w:p w:rsidR="00831C6E" w:rsidRDefault="00183D7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Твердження щодо проміжної інформації</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Товариства за 1-ше пiврiччя 2026 року, що закiнчився 30 червня 2026 року, пiдготовлена у вiдповiдностi з мiжнародними стандартами фiнансової звiтностi,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Товариства i промiжний звiт керiвництва включає достовiрне та об'єктивне подання iнформацiї щодо важливих подiй, якi вiдбулися упродовж звiтного перiоду, та їх вплив на промiжну фiнансову звiтнiсть, а також опис основних ризикiв та невизначеностей.</w:t>
      </w:r>
    </w:p>
    <w:p w:rsidR="00831C6E" w:rsidRDefault="00831C6E">
      <w:pPr>
        <w:widowControl w:val="0"/>
        <w:autoSpaceDE w:val="0"/>
        <w:autoSpaceDN w:val="0"/>
        <w:adjustRightInd w:val="0"/>
        <w:spacing w:after="0" w:line="240" w:lineRule="auto"/>
        <w:rPr>
          <w:rFonts w:ascii="Times New Roman CYR" w:hAnsi="Times New Roman CYR" w:cs="Times New Roman CYR"/>
          <w:sz w:val="24"/>
          <w:szCs w:val="24"/>
        </w:rPr>
      </w:pP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4. Значні правочини та правочини із заінтересованістю</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прийняття рішення про попереднє надання згоди на вчинення значних правочинів</w:t>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500"/>
        <w:gridCol w:w="8865"/>
      </w:tblGrid>
      <w:tr w:rsidR="00831C6E" w:rsidRPr="00D3031F" w:rsidTr="00782A62">
        <w:trPr>
          <w:trHeight w:val="3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 з/п</w:t>
            </w:r>
          </w:p>
        </w:tc>
        <w:tc>
          <w:tcPr>
            <w:tcW w:w="1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Дата прийняття рішення</w:t>
            </w:r>
          </w:p>
        </w:tc>
        <w:tc>
          <w:tcPr>
            <w:tcW w:w="88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URL-адреса власного вебсайту особи, на якій розміщена інформація про прийняття рішення щодо попереднього надання згоди на вчинення значних правочинів</w:t>
            </w:r>
          </w:p>
        </w:tc>
      </w:tr>
      <w:tr w:rsidR="00831C6E" w:rsidRPr="00D3031F" w:rsidTr="00782A62">
        <w:trPr>
          <w:trHeight w:val="300"/>
        </w:trPr>
        <w:tc>
          <w:tcPr>
            <w:tcW w:w="550" w:type="dxa"/>
            <w:tcBorders>
              <w:top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w:t>
            </w:r>
          </w:p>
        </w:tc>
        <w:tc>
          <w:tcPr>
            <w:tcW w:w="8865" w:type="dxa"/>
            <w:tcBorders>
              <w:top w:val="single" w:sz="6" w:space="0" w:color="auto"/>
              <w:left w:val="single" w:sz="6" w:space="0" w:color="auto"/>
              <w:bottom w:val="single" w:sz="6" w:space="0" w:color="auto"/>
            </w:tcBorders>
            <w:vAlign w:val="center"/>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3</w:t>
            </w:r>
          </w:p>
        </w:tc>
      </w:tr>
      <w:tr w:rsidR="00831C6E" w:rsidRPr="00D3031F" w:rsidTr="00782A62">
        <w:trPr>
          <w:trHeight w:val="300"/>
        </w:trPr>
        <w:tc>
          <w:tcPr>
            <w:tcW w:w="550" w:type="dxa"/>
            <w:tcBorders>
              <w:top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28.04.2026</w:t>
            </w:r>
          </w:p>
        </w:tc>
        <w:tc>
          <w:tcPr>
            <w:tcW w:w="8865" w:type="dxa"/>
            <w:tcBorders>
              <w:top w:val="single" w:sz="6" w:space="0" w:color="auto"/>
              <w:left w:val="single" w:sz="6" w:space="0" w:color="auto"/>
              <w:bottom w:val="single" w:sz="6" w:space="0" w:color="auto"/>
            </w:tcBorders>
          </w:tcPr>
          <w:p w:rsidR="00831C6E" w:rsidRPr="00D3031F" w:rsidRDefault="00183D75">
            <w:pPr>
              <w:widowControl w:val="0"/>
              <w:autoSpaceDE w:val="0"/>
              <w:autoSpaceDN w:val="0"/>
              <w:adjustRightInd w:val="0"/>
              <w:spacing w:after="0" w:line="240" w:lineRule="auto"/>
              <w:jc w:val="center"/>
              <w:rPr>
                <w:rFonts w:ascii="Times New Roman CYR" w:hAnsi="Times New Roman CYR" w:cs="Times New Roman CYR"/>
              </w:rPr>
            </w:pPr>
            <w:r w:rsidRPr="00D3031F">
              <w:rPr>
                <w:rFonts w:ascii="Times New Roman CYR" w:hAnsi="Times New Roman CYR" w:cs="Times New Roman CYR"/>
              </w:rPr>
              <w:t>http://www.sgu.com.ua/pdf/stakeholder/2026/info_28042026.zip</w:t>
            </w:r>
          </w:p>
        </w:tc>
      </w:tr>
    </w:tbl>
    <w:p w:rsidR="00782A62" w:rsidRDefault="00782A62">
      <w:pPr>
        <w:widowControl w:val="0"/>
        <w:autoSpaceDE w:val="0"/>
        <w:autoSpaceDN w:val="0"/>
        <w:adjustRightInd w:val="0"/>
        <w:spacing w:after="0" w:line="240" w:lineRule="auto"/>
        <w:rPr>
          <w:rFonts w:ascii="Times New Roman CYR" w:hAnsi="Times New Roman CYR" w:cs="Times New Roman CYR"/>
        </w:rPr>
      </w:pPr>
    </w:p>
    <w:p w:rsidR="00831C6E" w:rsidRDefault="00782A62">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br w:type="page"/>
      </w:r>
    </w:p>
    <w:p w:rsidR="00831C6E" w:rsidRDefault="00183D7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IV. Нефінансова інформація</w:t>
      </w:r>
    </w:p>
    <w:p w:rsidR="00831C6E" w:rsidRDefault="00183D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Проміжний звіт керівництва</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831C6E" w:rsidRDefault="00831C6E">
      <w:pPr>
        <w:widowControl w:val="0"/>
        <w:autoSpaceDE w:val="0"/>
        <w:autoSpaceDN w:val="0"/>
        <w:adjustRightInd w:val="0"/>
        <w:spacing w:after="0" w:line="240" w:lineRule="auto"/>
        <w:jc w:val="both"/>
        <w:rPr>
          <w:rFonts w:ascii="Times New Roman CYR" w:hAnsi="Times New Roman CYR" w:cs="Times New Roman CYR"/>
          <w:sz w:val="24"/>
          <w:szCs w:val="24"/>
        </w:rPr>
      </w:pP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831C6E" w:rsidRDefault="00831C6E">
      <w:pPr>
        <w:widowControl w:val="0"/>
        <w:autoSpaceDE w:val="0"/>
        <w:autoSpaceDN w:val="0"/>
        <w:adjustRightInd w:val="0"/>
        <w:spacing w:after="0" w:line="240" w:lineRule="auto"/>
        <w:jc w:val="both"/>
        <w:rPr>
          <w:rFonts w:ascii="Times New Roman CYR" w:hAnsi="Times New Roman CYR" w:cs="Times New Roman CYR"/>
          <w:sz w:val="24"/>
          <w:szCs w:val="24"/>
        </w:rPr>
      </w:pPr>
    </w:p>
    <w:p w:rsidR="00831C6E" w:rsidRDefault="00183D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Вказівки на важливі події, що відбулися упродовж звітного періоду, та їх вплив на проміжну фінансову звітність, а також опис основних ризиків та невизначеностей у діяльності особи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у звiтному перiодi не укладало деривативiв, якi впливають на оцiнку активiв, зобов'язань, фiнансового стану i доходiв або витрат Товариства, якi б мали  вплив на промiжну фiнансову звiтнiсть.</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основних ризикiв та невизначеностей:</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Положення про вимоги до системи управлiння страховика (затверджене постановою Правлiння Нацiонального банку України № 194 вiд 27.12.2023 року) в Товариствi запроваджена система управлiння ризиками, що включає Стратегiю управлiння ризиками, Полiтику управлiння ризиками, Декларацiю схильностi до ризикiв, що затвердженi загальними зборами Товариства, що вiдбулися 24.06.2024 (Протокол № 33 вiд 24.06.2024), та  реалiзацiю управлiння ризиками.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Наказом Голови правлiння призначено працiвника, що виконує функцiю оцiнки ризикiв - головного ризик-менеджера.</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здiйсненнi управлiння ризиками ризики систематизованi за класифiкацiєю:</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андеррайтинговi ризики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ринковi ризики;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ризики дефолту контрагента;</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операцiйнi ризики.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Основними ризиками, що впливали на дiяльнiсть ПрАТ "СГУ" у 2 кварталi 2026 року є: </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воєнний стан в Українi та вiйськовi дiї в схiдних регiонах України, його невизначенiсть в тривалостi та гостротi;</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висока конкуренцiя на ринку фiнансових послуг України;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економiчно нестабiльна ситуацiя в України;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загальне зменшення платоспроможностi юридичних осiб;</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Положення про вимоги до системи управлiння страховика (затверджене постановою Правлiння Нацiонального банку України № 194 вiд 27.12.2023 року) в Товариствi запроваджена система управлiння ризиками, що включає Стратегiю управлiння ризиками, Полiтику управлiння ризиками, Декларацiю схильностi до ризикiв, що затвердженi загальними зборами Товариства, що вiдбулися 24.06.2024 (Протокол № 33 вiд 24.06.2024), та  реалiзацiю управлiння ризиками.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Наказом Голови правлiння призначено головного ризик-менеджера Товариства.</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здiйсненнi управлiння ризиками ризики систематизованi за класифiкацiєю:</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андеррайтинговi ризики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ринковi ризики;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ризики дефолту контрагента;</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операцiйнi ризики.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кожного з ризикiв розробленi та запровадженi модулi розрахунку.</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Стратегiя управлiння ризиками мiстить:</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мету управлiння ризиками;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визначення основних принципiв управлiння ризиками;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визначення ризикiв з урахуванням класифiкацiї;</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карту ризикiв;</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визначення допустимих меж ризикiв;</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опис процедур управлiння ризиками;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опис механiзму виявлення та оцiнки ризикiв;</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опис механiзму забезпечення платоспроможностi;</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опис розмежування функцiй i вiдповiдальностi у процесi управлiння ризиками, визначення осiб,  вiдповiдальних за перегляд ефективностi стратегiї;</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порядок взаємодiї мiж Наглядовою радою, виконавчим органом, ключовими особами Товариства та головним ризик-менеджером у процесi управлiння ризиками.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забезпечує постiйне пiдвищення квалiфiкацiї головного ризик-менеджера.</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Створена в Товариствi Система управлiння ризиками дозволяє здiйснювати постiйний монiторинг визначених ризикiв, пом'якшувати та зменшувати вплив ризикiв на платоспроможнiсть ПрАТ "СГУ", приймати оперативнi рiшення щодо зменшення вразливостi ПрАТ "СГУ" до визначених ризикiв.</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дефолту контрагента;</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операцiйнi ризики.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кожного з ризикiв розробленi та запровадженi модулi розрахунку.</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Стратегiя управлiння ризиками мiстить:</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мету управлiння ризиками;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визначення основних принципiв управлiння ризиками;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визначення ризикiв з урахуванням класифiкацiї;</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карту ризикiв;</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визначення допустимих меж ризикiв;</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процедур управлiння ризиками;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механiзму виявлення та оцiнки ризикiв;</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механiзму забезпечення платоспроможностi;</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розмежування функцiй i вiдповiдальностi у процесi управлiння ризиками, визначення осiб,  вiдповiдальних за перегляд ефективностi стратегiї;</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порядок взаємодiї мiж Наглядовою радою, виконавчим органом, ключовими особами Товариства та головним ризик-менеджером у процесi управлiння ризиками.</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"СГУ" забезпечує постiйне пiдвищення квалiфiкацiї головного ризик-менеджера.</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Створена на ПрАТ "СГУ" Система управлiння ризиками дозволяє здiйснювати постiйний монiторинг визначених ризикiв, пом'якшувати та зменшувати вплив ризикiв на платоспроможнiсть ПрАТ "СГУ", приймати оперативнi рiшення щодо зменшення вразливостi ПрАТ "СГУ" до визначених ризикiв.</w:t>
      </w:r>
    </w:p>
    <w:p w:rsidR="00782A62" w:rsidRDefault="00782A62" w:rsidP="00782A62">
      <w:pPr>
        <w:widowControl w:val="0"/>
        <w:autoSpaceDE w:val="0"/>
        <w:autoSpaceDN w:val="0"/>
        <w:adjustRightInd w:val="0"/>
        <w:spacing w:after="0" w:line="240" w:lineRule="auto"/>
        <w:jc w:val="both"/>
        <w:rPr>
          <w:rFonts w:ascii="Times New Roman CYR" w:hAnsi="Times New Roman CYR" w:cs="Times New Roman CYR"/>
          <w:sz w:val="24"/>
          <w:szCs w:val="24"/>
        </w:rPr>
      </w:pPr>
    </w:p>
    <w:p w:rsidR="00782A62" w:rsidRDefault="00782A62" w:rsidP="00782A62">
      <w:pPr>
        <w:widowControl w:val="0"/>
        <w:autoSpaceDE w:val="0"/>
        <w:autoSpaceDN w:val="0"/>
        <w:adjustRightInd w:val="0"/>
        <w:spacing w:after="0" w:line="240" w:lineRule="auto"/>
        <w:rPr>
          <w:rFonts w:ascii="Times New Roman CYR" w:hAnsi="Times New Roman CYR" w:cs="Times New Roman CYR"/>
          <w:sz w:val="24"/>
          <w:szCs w:val="24"/>
        </w:rPr>
      </w:pPr>
    </w:p>
    <w:p w:rsidR="00831C6E" w:rsidRDefault="00831C6E">
      <w:pPr>
        <w:widowControl w:val="0"/>
        <w:autoSpaceDE w:val="0"/>
        <w:autoSpaceDN w:val="0"/>
        <w:adjustRightInd w:val="0"/>
        <w:spacing w:after="0" w:line="240" w:lineRule="auto"/>
        <w:jc w:val="both"/>
        <w:rPr>
          <w:rFonts w:ascii="Times New Roman CYR" w:hAnsi="Times New Roman CYR" w:cs="Times New Roman CYR"/>
          <w:sz w:val="24"/>
          <w:szCs w:val="24"/>
        </w:rPr>
      </w:pPr>
    </w:p>
    <w:p w:rsidR="00183D75" w:rsidRDefault="00183D75">
      <w:pPr>
        <w:widowControl w:val="0"/>
        <w:autoSpaceDE w:val="0"/>
        <w:autoSpaceDN w:val="0"/>
        <w:adjustRightInd w:val="0"/>
        <w:spacing w:after="0" w:line="240" w:lineRule="auto"/>
        <w:rPr>
          <w:rFonts w:ascii="Times New Roman CYR" w:hAnsi="Times New Roman CYR" w:cs="Times New Roman CYR"/>
          <w:sz w:val="24"/>
          <w:szCs w:val="24"/>
        </w:rPr>
      </w:pPr>
    </w:p>
    <w:sectPr w:rsidR="00183D75">
      <w:pgSz w:w="12240" w:h="15840"/>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C29" w:rsidRDefault="00643C29" w:rsidP="00D3031F">
      <w:pPr>
        <w:spacing w:after="0" w:line="240" w:lineRule="auto"/>
      </w:pPr>
      <w:r>
        <w:separator/>
      </w:r>
    </w:p>
  </w:endnote>
  <w:endnote w:type="continuationSeparator" w:id="0">
    <w:p w:rsidR="00643C29" w:rsidRDefault="00643C29" w:rsidP="00D30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31F" w:rsidRDefault="00D3031F">
    <w:pPr>
      <w:pStyle w:val="a5"/>
      <w:jc w:val="right"/>
    </w:pPr>
    <w:r>
      <w:fldChar w:fldCharType="begin"/>
    </w:r>
    <w:r>
      <w:instrText>PAGE   \* MERGEFORMAT</w:instrText>
    </w:r>
    <w:r>
      <w:fldChar w:fldCharType="separate"/>
    </w:r>
    <w:r w:rsidR="00A77881" w:rsidRPr="00A77881">
      <w:rPr>
        <w:noProof/>
        <w:lang w:val="ru-RU"/>
      </w:rPr>
      <w:t>21</w:t>
    </w:r>
    <w:r>
      <w:fldChar w:fldCharType="end"/>
    </w:r>
  </w:p>
  <w:p w:rsidR="00D3031F" w:rsidRDefault="00D3031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C29" w:rsidRDefault="00643C29" w:rsidP="00D3031F">
      <w:pPr>
        <w:spacing w:after="0" w:line="240" w:lineRule="auto"/>
      </w:pPr>
      <w:r>
        <w:separator/>
      </w:r>
    </w:p>
  </w:footnote>
  <w:footnote w:type="continuationSeparator" w:id="0">
    <w:p w:rsidR="00643C29" w:rsidRDefault="00643C29" w:rsidP="00D303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31F"/>
    <w:rsid w:val="00183D75"/>
    <w:rsid w:val="00643C29"/>
    <w:rsid w:val="00782A62"/>
    <w:rsid w:val="00831C6E"/>
    <w:rsid w:val="00A77881"/>
    <w:rsid w:val="00D3031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CDEF63"/>
  <w14:defaultImageDpi w14:val="0"/>
  <w15:docId w15:val="{EDFA3717-80C7-4BF4-BA20-00B756AFA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031F"/>
    <w:pPr>
      <w:tabs>
        <w:tab w:val="center" w:pos="4819"/>
        <w:tab w:val="right" w:pos="9639"/>
      </w:tabs>
    </w:pPr>
  </w:style>
  <w:style w:type="character" w:customStyle="1" w:styleId="a4">
    <w:name w:val="Верхний колонтитул Знак"/>
    <w:basedOn w:val="a0"/>
    <w:link w:val="a3"/>
    <w:uiPriority w:val="99"/>
    <w:rsid w:val="00D3031F"/>
  </w:style>
  <w:style w:type="paragraph" w:styleId="a5">
    <w:name w:val="footer"/>
    <w:basedOn w:val="a"/>
    <w:link w:val="a6"/>
    <w:uiPriority w:val="99"/>
    <w:unhideWhenUsed/>
    <w:rsid w:val="00D3031F"/>
    <w:pPr>
      <w:tabs>
        <w:tab w:val="center" w:pos="4819"/>
        <w:tab w:val="right" w:pos="9639"/>
      </w:tabs>
    </w:pPr>
  </w:style>
  <w:style w:type="character" w:customStyle="1" w:styleId="a6">
    <w:name w:val="Нижний колонтитул Знак"/>
    <w:basedOn w:val="a0"/>
    <w:link w:val="a5"/>
    <w:uiPriority w:val="99"/>
    <w:rsid w:val="00D3031F"/>
  </w:style>
  <w:style w:type="paragraph" w:styleId="a7">
    <w:name w:val="Balloon Text"/>
    <w:basedOn w:val="a"/>
    <w:link w:val="a8"/>
    <w:uiPriority w:val="99"/>
    <w:semiHidden/>
    <w:unhideWhenUsed/>
    <w:rsid w:val="00D3031F"/>
    <w:pPr>
      <w:spacing w:after="0" w:line="240" w:lineRule="auto"/>
    </w:pPr>
    <w:rPr>
      <w:rFonts w:ascii="Segoe UI" w:hAnsi="Segoe UI" w:cs="Segoe UI"/>
      <w:sz w:val="18"/>
      <w:szCs w:val="18"/>
    </w:rPr>
  </w:style>
  <w:style w:type="character" w:customStyle="1" w:styleId="a8">
    <w:name w:val="Текст выноски Знак"/>
    <w:link w:val="a7"/>
    <w:uiPriority w:val="99"/>
    <w:semiHidden/>
    <w:rsid w:val="00D3031F"/>
    <w:rPr>
      <w:rFonts w:ascii="Segoe UI" w:hAnsi="Segoe UI" w:cs="Segoe UI"/>
      <w:sz w:val="18"/>
      <w:szCs w:val="18"/>
    </w:rPr>
  </w:style>
  <w:style w:type="character" w:styleId="a9">
    <w:name w:val="Hyperlink"/>
    <w:basedOn w:val="a0"/>
    <w:uiPriority w:val="99"/>
    <w:unhideWhenUsed/>
    <w:rsid w:val="00782A6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37</Pages>
  <Words>55870</Words>
  <Characters>31847</Characters>
  <Application>Microsoft Office Word</Application>
  <DocSecurity>0</DocSecurity>
  <Lines>265</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2026-07-31T09:34:00Z</cp:lastPrinted>
  <dcterms:created xsi:type="dcterms:W3CDTF">2026-07-31T10:01:00Z</dcterms:created>
  <dcterms:modified xsi:type="dcterms:W3CDTF">2026-07-31T10:06:00Z</dcterms:modified>
</cp:coreProperties>
</file>